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8A16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F9E6C6C">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2E734E0">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w:t>
            </w:r>
            <w:r>
              <w:rPr>
                <w:rFonts w:hint="eastAsia" w:ascii="黑体" w:hAnsi="黑体" w:eastAsia="黑体"/>
                <w:sz w:val="21"/>
                <w:szCs w:val="21"/>
              </w:rPr>
              <w:t>5</w:t>
            </w:r>
            <w:r>
              <w:rPr>
                <w:rFonts w:ascii="黑体" w:hAnsi="黑体" w:eastAsia="黑体"/>
                <w:sz w:val="21"/>
                <w:szCs w:val="21"/>
              </w:rPr>
              <w:t>.0</w:t>
            </w:r>
            <w:r>
              <w:rPr>
                <w:rFonts w:hint="eastAsia" w:ascii="黑体" w:hAnsi="黑体" w:eastAsia="黑体"/>
                <w:sz w:val="21"/>
                <w:szCs w:val="21"/>
              </w:rPr>
              <w:t>2</w:t>
            </w:r>
            <w:r>
              <w:rPr>
                <w:rFonts w:ascii="黑体" w:hAnsi="黑体" w:eastAsia="黑体"/>
                <w:sz w:val="21"/>
                <w:szCs w:val="21"/>
              </w:rPr>
              <w:t>0.20</w:t>
            </w:r>
            <w:r>
              <w:rPr>
                <w:rFonts w:ascii="黑体" w:hAnsi="黑体" w:eastAsia="黑体"/>
                <w:sz w:val="21"/>
                <w:szCs w:val="21"/>
              </w:rPr>
              <w:fldChar w:fldCharType="end"/>
            </w:r>
            <w:bookmarkEnd w:id="0"/>
          </w:p>
        </w:tc>
      </w:tr>
      <w:tr w14:paraId="7950A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A1593B3">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D9F44EC">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62</w:t>
            </w:r>
            <w:r>
              <w:rPr>
                <w:rFonts w:ascii="黑体" w:hAnsi="黑体" w:eastAsia="黑体"/>
                <w:sz w:val="21"/>
                <w:szCs w:val="21"/>
              </w:rPr>
              <w:fldChar w:fldCharType="end"/>
            </w:r>
            <w:bookmarkEnd w:id="1"/>
          </w:p>
        </w:tc>
      </w:tr>
    </w:tbl>
    <w:tbl>
      <w:tblPr>
        <w:tblStyle w:val="30"/>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68C6A5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1F10E15">
            <w:pPr>
              <w:pStyle w:val="53"/>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14:paraId="54D0E2B7">
      <w:pPr>
        <w:pStyle w:val="54"/>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7099442">
      <w:pPr>
        <w:pStyle w:val="199"/>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w:t>
      </w:r>
      <w:r>
        <w:rPr>
          <w:rFonts w:hint="eastAsia"/>
        </w:rPr>
        <w:t>4</w:t>
      </w:r>
      <w:r>
        <w:fldChar w:fldCharType="end"/>
      </w:r>
      <w:bookmarkEnd w:id="7"/>
    </w:p>
    <w:p w14:paraId="6C45123D">
      <w:pPr>
        <w:pStyle w:val="200"/>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CAE07D5">
      <w:pPr>
        <w:spacing w:line="240" w:lineRule="auto"/>
        <w:rPr>
          <w:rFonts w:ascii="黑体" w:hAnsi="黑体" w:eastAsia="黑体"/>
          <w:kern w:val="0"/>
          <w:sz w:val="10"/>
          <w:szCs w:val="10"/>
        </w:rPr>
      </w:pPr>
      <w:r>
        <w:rPr>
          <w:rFonts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24A4E5E4">
      <w:pPr>
        <w:pStyle w:val="54"/>
        <w:framePr w:w="9639" w:h="6976" w:hRule="exact" w:hSpace="0" w:vSpace="0" w:wrap="around" w:hAnchor="page" w:y="6408"/>
        <w:jc w:val="center"/>
        <w:rPr>
          <w:rFonts w:ascii="黑体" w:hAnsi="黑体" w:eastAsia="黑体"/>
          <w:b w:val="0"/>
          <w:bCs w:val="0"/>
          <w:w w:val="100"/>
        </w:rPr>
      </w:pPr>
    </w:p>
    <w:p w14:paraId="3FC565AA">
      <w:pPr>
        <w:pStyle w:val="201"/>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切花杜鹃生产技术规程</w:t>
      </w:r>
      <w:r>
        <w:fldChar w:fldCharType="end"/>
      </w:r>
      <w:bookmarkEnd w:id="9"/>
    </w:p>
    <w:p w14:paraId="77E0D305">
      <w:pPr>
        <w:framePr w:w="9639" w:h="6974" w:hRule="exact" w:wrap="around" w:vAnchor="page" w:hAnchor="page" w:x="1419" w:y="6408" w:anchorLock="1"/>
        <w:ind w:left="-1418"/>
      </w:pPr>
    </w:p>
    <w:p w14:paraId="286E92F0">
      <w:pPr>
        <w:pStyle w:val="12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Technical regulations for </w:t>
      </w:r>
      <w:r>
        <w:rPr>
          <w:rFonts w:hint="eastAsia" w:eastAsia="黑体"/>
          <w:szCs w:val="28"/>
        </w:rPr>
        <w:t>cut rhododendron production</w:t>
      </w:r>
      <w:r>
        <w:rPr>
          <w:rFonts w:eastAsia="黑体"/>
          <w:szCs w:val="28"/>
        </w:rPr>
        <w:fldChar w:fldCharType="end"/>
      </w:r>
      <w:bookmarkEnd w:id="10"/>
    </w:p>
    <w:p w14:paraId="6C206CB5">
      <w:pPr>
        <w:framePr w:w="9639" w:h="6974" w:hRule="exact" w:wrap="around" w:vAnchor="page" w:hAnchor="page" w:x="1419" w:y="6408" w:anchorLock="1"/>
        <w:spacing w:line="760" w:lineRule="exact"/>
        <w:ind w:left="-1418"/>
      </w:pPr>
    </w:p>
    <w:p w14:paraId="3B87D36D">
      <w:pPr>
        <w:pStyle w:val="129"/>
        <w:framePr w:w="9639" w:h="6974" w:hRule="exact" w:wrap="around" w:vAnchor="page" w:hAnchor="page" w:x="1419" w:y="6408" w:anchorLock="1"/>
        <w:textAlignment w:val="bottom"/>
        <w:rPr>
          <w:rFonts w:eastAsia="黑体"/>
          <w:szCs w:val="28"/>
        </w:rPr>
      </w:pPr>
    </w:p>
    <w:p w14:paraId="12E13BD0">
      <w:pPr>
        <w:pStyle w:val="12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EB47634">
      <w:pPr>
        <w:pStyle w:val="129"/>
        <w:framePr w:w="9639" w:h="6974" w:hRule="exact" w:wrap="around" w:vAnchor="page" w:hAnchor="page" w:x="1419" w:y="6408" w:anchorLock="1"/>
        <w:spacing w:before="180" w:line="240" w:lineRule="atLeast"/>
        <w:textAlignment w:val="bottom"/>
        <w:rPr>
          <w:sz w:val="21"/>
          <w:szCs w:val="28"/>
        </w:rPr>
      </w:pPr>
      <w:bookmarkStart w:id="12" w:name="CMPLSH_DATE"/>
      <w:r>
        <w:rPr>
          <w:sz w:val="21"/>
          <w:szCs w:val="28"/>
        </w:rPr>
        <w:fldChar w:fldCharType="begin">
          <w:ffData>
            <w:name w:val="CMPLSH_DATE"/>
            <w:enabled/>
            <w:calcOnExit w:val="0"/>
            <w:textInput/>
          </w:ffData>
        </w:fldChar>
      </w:r>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08C9A0B5">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8814C1E">
      <w:pPr>
        <w:pStyle w:val="197"/>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w:t>
      </w:r>
      <w:r>
        <w:rPr>
          <w:rFonts w:hint="eastAsia" w:ascii="黑体"/>
        </w:rPr>
        <w:t>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6196895">
      <w:pPr>
        <w:pStyle w:val="198"/>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w:t>
      </w:r>
      <w:r>
        <w:rPr>
          <w:rFonts w:hint="eastAsia" w:ascii="黑体"/>
        </w:rPr>
        <w:t>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AAF0C8E">
      <w:pPr>
        <w:pStyle w:val="155"/>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江苏省市场监督管理局</w:t>
      </w:r>
      <w:r>
        <w:rPr>
          <w:rFonts w:hAnsi="黑体"/>
          <w:w w:val="100"/>
          <w:sz w:val="28"/>
        </w:rPr>
        <w:fldChar w:fldCharType="end"/>
      </w:r>
      <w:bookmarkEnd w:id="20"/>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51C6F58A">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1F8BD4A0">
      <w:pPr>
        <w:pStyle w:val="93"/>
        <w:spacing w:after="468"/>
      </w:pPr>
      <w:bookmarkStart w:id="21" w:name="BookMark2"/>
      <w:r>
        <w:rPr>
          <w:spacing w:val="320"/>
        </w:rPr>
        <w:t>前</w:t>
      </w:r>
      <w:r>
        <w:t>言</w:t>
      </w:r>
    </w:p>
    <w:p w14:paraId="66983CA4">
      <w:pPr>
        <w:pStyle w:val="60"/>
        <w:ind w:firstLine="420"/>
        <w:rPr>
          <w:rFonts w:hAnsi="宋体" w:cs="宋体"/>
        </w:rPr>
      </w:pPr>
      <w:r>
        <w:rPr>
          <w:rFonts w:hint="eastAsia" w:hAnsi="宋体" w:cs="宋体"/>
        </w:rPr>
        <w:t>本文件按照GB/T 1.1—2020《标准化工作导则  第1部分：标准化文件的结构和起草规则》的规定起草。</w:t>
      </w:r>
    </w:p>
    <w:p w14:paraId="3617B2DA">
      <w:pPr>
        <w:pStyle w:val="60"/>
        <w:ind w:firstLine="420"/>
      </w:pPr>
      <w:r>
        <w:rPr>
          <w:rFonts w:hint="eastAsia"/>
        </w:rPr>
        <w:t>请注意本文件的某些内容可能涉及专利。本文件的发布机构不承担识别专利的责任。</w:t>
      </w:r>
    </w:p>
    <w:p w14:paraId="0EAB0DD8">
      <w:pPr>
        <w:pStyle w:val="60"/>
        <w:ind w:firstLine="420"/>
      </w:pPr>
      <w:r>
        <w:rPr>
          <w:color w:val="000000" w:themeColor="text1"/>
        </w:rPr>
        <w:t>本文件由</w:t>
      </w:r>
      <w:r>
        <w:rPr>
          <w:rFonts w:hint="eastAsia"/>
          <w:color w:val="000000" w:themeColor="text1"/>
        </w:rPr>
        <w:t>江苏省园艺标准化技术委员会提出</w:t>
      </w:r>
      <w:r>
        <w:rPr>
          <w:rFonts w:hint="eastAsia"/>
          <w:color w:val="000000" w:themeColor="text1"/>
          <w:lang w:eastAsia="zh-CN"/>
        </w:rPr>
        <w:t>、</w:t>
      </w:r>
      <w:r>
        <w:rPr>
          <w:rFonts w:hint="eastAsia"/>
          <w:color w:val="000000" w:themeColor="text1"/>
        </w:rPr>
        <w:t>归口</w:t>
      </w:r>
      <w:r>
        <w:rPr>
          <w:rFonts w:hint="eastAsia"/>
          <w:color w:val="000000" w:themeColor="text1"/>
          <w:lang w:val="en-US" w:eastAsia="zh-CN"/>
        </w:rPr>
        <w:t>并组织实施</w:t>
      </w:r>
      <w:bookmarkStart w:id="52" w:name="_GoBack"/>
      <w:bookmarkEnd w:id="52"/>
      <w:r>
        <w:rPr>
          <w:rFonts w:hint="eastAsia"/>
        </w:rPr>
        <w:t>。</w:t>
      </w:r>
    </w:p>
    <w:p w14:paraId="74A0DB1C">
      <w:pPr>
        <w:pStyle w:val="60"/>
        <w:ind w:firstLine="420"/>
      </w:pPr>
      <w:r>
        <w:rPr>
          <w:rFonts w:hint="eastAsia"/>
        </w:rPr>
        <w:t>本文件起草单位：南京林业大学、江苏裕华杜鹃种植有限公司。</w:t>
      </w:r>
    </w:p>
    <w:p w14:paraId="3E456A58">
      <w:pPr>
        <w:pStyle w:val="60"/>
        <w:ind w:firstLine="420"/>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type="lines" w:linePitch="312" w:charSpace="0"/>
        </w:sectPr>
      </w:pPr>
      <w:r>
        <w:rPr>
          <w:rFonts w:hint="eastAsia"/>
        </w:rPr>
        <w:t>本文件主要起草人：耿兴敏、周金良、祝遵凌、孙静、曾凡玉、圣倩倩。</w:t>
      </w:r>
    </w:p>
    <w:bookmarkEnd w:id="21"/>
    <w:p w14:paraId="22E1CE6F">
      <w:pPr>
        <w:spacing w:line="20" w:lineRule="exact"/>
        <w:jc w:val="center"/>
        <w:rPr>
          <w:rFonts w:ascii="黑体" w:hAnsi="黑体" w:eastAsia="黑体"/>
          <w:sz w:val="32"/>
          <w:szCs w:val="32"/>
        </w:rPr>
      </w:pPr>
      <w:bookmarkStart w:id="22" w:name="BookMark4"/>
    </w:p>
    <w:p w14:paraId="70E7CCC5">
      <w:pPr>
        <w:spacing w:line="20" w:lineRule="exact"/>
        <w:jc w:val="center"/>
        <w:rPr>
          <w:rFonts w:ascii="黑体" w:hAnsi="黑体" w:eastAsia="黑体"/>
          <w:sz w:val="32"/>
          <w:szCs w:val="32"/>
        </w:rPr>
      </w:pPr>
    </w:p>
    <w:sdt>
      <w:sdtPr>
        <w:tag w:val="NEW_STAND_NAME"/>
        <w:id w:val="595910757"/>
        <w:lock w:val="sdtLocked"/>
        <w:placeholder>
          <w:docPart w:val="D3533E99472F4B048E761905EFAAE374"/>
        </w:placeholder>
      </w:sdtPr>
      <w:sdtContent>
        <w:p w14:paraId="03105DC6">
          <w:pPr>
            <w:pStyle w:val="181"/>
            <w:spacing w:before="312" w:beforeLines="100" w:after="686" w:afterLines="220"/>
          </w:pPr>
          <w:bookmarkStart w:id="23" w:name="NEW_STAND_NAME"/>
          <w:r>
            <w:rPr>
              <w:rFonts w:hint="eastAsia"/>
            </w:rPr>
            <w:t>切花</w:t>
          </w:r>
          <w:r>
            <w:rPr>
              <w:rFonts w:hint="eastAsia" w:ascii="Times New Roman"/>
            </w:rPr>
            <w:t>杜鹃生产</w:t>
          </w:r>
          <w:r>
            <w:rPr>
              <w:rFonts w:hint="eastAsia"/>
            </w:rPr>
            <w:t>技术规程</w:t>
          </w:r>
        </w:p>
      </w:sdtContent>
    </w:sdt>
    <w:bookmarkEnd w:id="23"/>
    <w:p w14:paraId="220477BF">
      <w:pPr>
        <w:pStyle w:val="108"/>
        <w:spacing w:before="312" w:after="312"/>
      </w:pPr>
      <w:bookmarkStart w:id="24" w:name="_Toc17233325"/>
      <w:bookmarkStart w:id="25" w:name="_Toc26986530"/>
      <w:bookmarkStart w:id="26" w:name="_Toc17233333"/>
      <w:bookmarkStart w:id="27" w:name="_Toc26648465"/>
      <w:bookmarkStart w:id="28" w:name="_Toc24884211"/>
      <w:bookmarkStart w:id="29" w:name="_Toc26986771"/>
      <w:bookmarkStart w:id="30" w:name="_Toc24884218"/>
      <w:bookmarkStart w:id="31" w:name="_Toc26718930"/>
      <w:r>
        <w:rPr>
          <w:rFonts w:hint="eastAsia"/>
        </w:rPr>
        <w:t>范围</w:t>
      </w:r>
      <w:bookmarkEnd w:id="24"/>
      <w:bookmarkEnd w:id="25"/>
      <w:bookmarkEnd w:id="26"/>
      <w:bookmarkEnd w:id="27"/>
      <w:bookmarkEnd w:id="28"/>
      <w:bookmarkEnd w:id="29"/>
      <w:bookmarkEnd w:id="30"/>
      <w:bookmarkEnd w:id="31"/>
    </w:p>
    <w:p w14:paraId="29504660">
      <w:pPr>
        <w:autoSpaceDE w:val="0"/>
        <w:autoSpaceDN w:val="0"/>
        <w:spacing w:line="240" w:lineRule="auto"/>
        <w:ind w:firstLine="420" w:firstLineChars="200"/>
        <w:jc w:val="left"/>
        <w:rPr>
          <w:kern w:val="0"/>
        </w:rPr>
      </w:pPr>
      <w:bookmarkStart w:id="32" w:name="_Toc26648466"/>
      <w:bookmarkStart w:id="33" w:name="_Toc24884212"/>
      <w:bookmarkStart w:id="34" w:name="_Toc17233326"/>
      <w:bookmarkStart w:id="35" w:name="_Toc17233334"/>
      <w:bookmarkStart w:id="36" w:name="_Toc24884219"/>
      <w:r>
        <w:rPr>
          <w:rFonts w:hint="eastAsia"/>
          <w:kern w:val="0"/>
        </w:rPr>
        <w:t>本文件规定了</w:t>
      </w:r>
      <w:bookmarkStart w:id="37" w:name="_Hlk165149391"/>
      <w:r>
        <w:rPr>
          <w:rFonts w:hint="eastAsia"/>
          <w:kern w:val="0"/>
        </w:rPr>
        <w:t>切花</w:t>
      </w:r>
      <w:r>
        <w:rPr>
          <w:rFonts w:hint="eastAsia"/>
        </w:rPr>
        <w:t>杜鹃</w:t>
      </w:r>
      <w:bookmarkEnd w:id="37"/>
      <w:r>
        <w:rPr>
          <w:rFonts w:hint="eastAsia"/>
        </w:rPr>
        <w:t>（</w:t>
      </w:r>
      <w:r>
        <w:rPr>
          <w:rFonts w:ascii="Times New Roman" w:hAnsi="Times New Roman"/>
          <w:i/>
          <w:iCs/>
        </w:rPr>
        <w:t>R</w:t>
      </w:r>
      <w:r>
        <w:rPr>
          <w:rFonts w:hint="eastAsia" w:ascii="Times New Roman" w:hAnsi="Times New Roman"/>
          <w:i/>
          <w:iCs/>
        </w:rPr>
        <w:t>h</w:t>
      </w:r>
      <w:r>
        <w:rPr>
          <w:rFonts w:ascii="Times New Roman" w:hAnsi="Times New Roman"/>
          <w:i/>
          <w:iCs/>
        </w:rPr>
        <w:t>ododendron</w:t>
      </w:r>
      <w:r>
        <w:rPr>
          <w:rFonts w:hint="eastAsia" w:ascii="Times New Roman" w:hAnsi="Times New Roman"/>
          <w:i/>
          <w:iCs/>
        </w:rPr>
        <w:t xml:space="preserve"> </w:t>
      </w:r>
      <w:r>
        <w:rPr>
          <w:rFonts w:hint="eastAsia" w:ascii="Times New Roman" w:hAnsi="Times New Roman"/>
        </w:rPr>
        <w:t>L.</w:t>
      </w:r>
      <w:r>
        <w:rPr>
          <w:rFonts w:hint="eastAsia"/>
        </w:rPr>
        <w:t>）</w:t>
      </w:r>
      <w:r>
        <w:rPr>
          <w:rFonts w:hint="eastAsia"/>
          <w:kern w:val="0"/>
        </w:rPr>
        <w:t>的生产环境条件、种苗选择、定植、田间管理、病虫草害防控、采切与分级、贮藏包装与运输及档案记录的技术要求。</w:t>
      </w:r>
    </w:p>
    <w:p w14:paraId="636243BE">
      <w:pPr>
        <w:autoSpaceDE w:val="0"/>
        <w:autoSpaceDN w:val="0"/>
        <w:spacing w:line="240" w:lineRule="auto"/>
        <w:ind w:firstLine="420" w:firstLineChars="200"/>
        <w:jc w:val="left"/>
        <w:rPr>
          <w:kern w:val="0"/>
        </w:rPr>
      </w:pPr>
      <w:r>
        <w:rPr>
          <w:rFonts w:hint="eastAsia"/>
          <w:kern w:val="0"/>
        </w:rPr>
        <w:t>本文件适用于</w:t>
      </w:r>
      <w:bookmarkStart w:id="38" w:name="_Hlk165150420"/>
      <w:r>
        <w:rPr>
          <w:rFonts w:hint="eastAsia"/>
          <w:kern w:val="0"/>
        </w:rPr>
        <w:t>切花杜鹃</w:t>
      </w:r>
      <w:bookmarkEnd w:id="38"/>
      <w:r>
        <w:rPr>
          <w:rFonts w:hint="eastAsia"/>
          <w:kern w:val="0"/>
        </w:rPr>
        <w:t>的露地生产栽培。</w:t>
      </w:r>
    </w:p>
    <w:p w14:paraId="11498A59">
      <w:pPr>
        <w:pStyle w:val="108"/>
        <w:spacing w:before="312" w:after="312"/>
      </w:pPr>
      <w:bookmarkStart w:id="39" w:name="_Toc26718931"/>
      <w:bookmarkStart w:id="40" w:name="_Toc26986772"/>
      <w:bookmarkStart w:id="41" w:name="_Toc26986531"/>
      <w:r>
        <w:rPr>
          <w:rFonts w:hint="eastAsia"/>
        </w:rPr>
        <w:t>规范性引用文件</w:t>
      </w:r>
      <w:bookmarkEnd w:id="32"/>
      <w:bookmarkEnd w:id="33"/>
      <w:bookmarkEnd w:id="34"/>
      <w:bookmarkEnd w:id="35"/>
      <w:bookmarkEnd w:id="36"/>
      <w:bookmarkEnd w:id="39"/>
      <w:bookmarkEnd w:id="40"/>
      <w:bookmarkEnd w:id="41"/>
    </w:p>
    <w:p w14:paraId="09C6AE23">
      <w:pPr>
        <w:pStyle w:val="6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下列文件中的内容通过文中的规范性引用而构成本文件必不可少的条款。其中，注日期的引用文件，仅该日期对应的版本适用于本文件；不注日期的引用文件，其最新版本（包括所有的修改版）适用于本文件。</w:t>
      </w:r>
    </w:p>
    <w:p w14:paraId="1CBA2C41">
      <w:pPr>
        <w:pStyle w:val="60"/>
        <w:ind w:firstLine="420"/>
      </w:pPr>
      <w:bookmarkStart w:id="42" w:name="OLE_LINK1"/>
      <w:r>
        <w:rPr>
          <w:rFonts w:ascii="Times New Roman"/>
        </w:rPr>
        <w:t>GB/T 18247.1</w:t>
      </w:r>
      <w:bookmarkEnd w:id="42"/>
      <w:r>
        <w:rPr>
          <w:rFonts w:hint="eastAsia"/>
        </w:rPr>
        <w:t xml:space="preserve"> 主要花卉产品等级 第1部分：鲜切花</w:t>
      </w:r>
    </w:p>
    <w:p w14:paraId="749E129B">
      <w:pPr>
        <w:pStyle w:val="60"/>
        <w:ind w:firstLine="420"/>
      </w:pPr>
      <w:r>
        <w:rPr>
          <w:rFonts w:ascii="Times New Roman"/>
          <w:szCs w:val="21"/>
        </w:rPr>
        <w:t>GB/T 23897</w:t>
      </w:r>
      <w:r>
        <w:rPr>
          <w:rFonts w:hint="eastAsia" w:ascii="Times New Roman"/>
          <w:szCs w:val="21"/>
        </w:rPr>
        <w:t xml:space="preserve"> 主要切花产品包装、运输、贮藏</w:t>
      </w:r>
    </w:p>
    <w:p w14:paraId="28500B3A">
      <w:pPr>
        <w:pStyle w:val="60"/>
        <w:ind w:firstLine="420"/>
      </w:pPr>
      <w:r>
        <w:rPr>
          <w:rFonts w:ascii="Times New Roman"/>
        </w:rPr>
        <w:t>GB 50288</w:t>
      </w:r>
      <w:r>
        <w:rPr>
          <w:rFonts w:hint="eastAsia"/>
        </w:rPr>
        <w:t xml:space="preserve"> 灌溉与排水工程设计标准</w:t>
      </w:r>
    </w:p>
    <w:p w14:paraId="6B12AA8A">
      <w:pPr>
        <w:pStyle w:val="60"/>
        <w:ind w:firstLine="420"/>
      </w:pPr>
      <w:r>
        <w:rPr>
          <w:rFonts w:ascii="Times New Roman"/>
        </w:rPr>
        <w:t>NY/T</w:t>
      </w:r>
      <w:r>
        <w:rPr>
          <w:rFonts w:hint="eastAsia" w:ascii="Times New Roman"/>
        </w:rPr>
        <w:t xml:space="preserve"> 496</w:t>
      </w:r>
      <w:r>
        <w:rPr>
          <w:rFonts w:ascii="Times New Roman"/>
        </w:rPr>
        <w:t xml:space="preserve"> </w:t>
      </w:r>
      <w:r>
        <w:rPr>
          <w:rFonts w:hint="eastAsia"/>
        </w:rPr>
        <w:t xml:space="preserve"> 肥料合理使用准则 通则</w:t>
      </w:r>
    </w:p>
    <w:p w14:paraId="02ED08DB">
      <w:pPr>
        <w:pStyle w:val="60"/>
        <w:ind w:firstLine="420"/>
        <w:rPr>
          <w:rFonts w:ascii="Times New Roman"/>
        </w:rPr>
      </w:pPr>
      <w:r>
        <w:rPr>
          <w:rFonts w:ascii="Times New Roman"/>
        </w:rPr>
        <w:t xml:space="preserve">NY/T </w:t>
      </w:r>
      <w:r>
        <w:rPr>
          <w:rFonts w:hint="eastAsia" w:ascii="Times New Roman"/>
        </w:rPr>
        <w:t>1276 农药安全使用规范 总则</w:t>
      </w:r>
    </w:p>
    <w:p w14:paraId="518676F1">
      <w:pPr>
        <w:pStyle w:val="60"/>
        <w:ind w:firstLine="420"/>
        <w:rPr>
          <w:rFonts w:ascii="Times New Roman"/>
        </w:rPr>
      </w:pPr>
      <w:r>
        <w:rPr>
          <w:rFonts w:hint="eastAsia" w:ascii="Times New Roman"/>
        </w:rPr>
        <w:t>DB32/T 2576 绿化用杜鹃栽培技术规程</w:t>
      </w:r>
    </w:p>
    <w:p w14:paraId="304727FC">
      <w:pPr>
        <w:pStyle w:val="108"/>
        <w:spacing w:before="312" w:after="312"/>
      </w:pPr>
      <w:r>
        <w:rPr>
          <w:rFonts w:hint="eastAsia"/>
          <w:szCs w:val="21"/>
        </w:rPr>
        <w:t>术语和定义</w:t>
      </w:r>
    </w:p>
    <w:p w14:paraId="16E23892">
      <w:pPr>
        <w:spacing w:line="240" w:lineRule="auto"/>
        <w:ind w:firstLine="420" w:firstLineChars="200"/>
        <w:rPr>
          <w:rFonts w:ascii="Times New Roman"/>
        </w:rPr>
      </w:pPr>
      <w:r>
        <w:rPr>
          <w:rFonts w:hint="eastAsia" w:ascii="Times New Roman"/>
        </w:rPr>
        <w:t>下列术语和定义适用于本文件。</w:t>
      </w:r>
    </w:p>
    <w:p w14:paraId="12690C94">
      <w:pPr>
        <w:pStyle w:val="109"/>
        <w:spacing w:beforeLines="0" w:afterLines="0"/>
      </w:pPr>
    </w:p>
    <w:p w14:paraId="37DEBB5D">
      <w:pPr>
        <w:pStyle w:val="109"/>
        <w:numPr>
          <w:ilvl w:val="2"/>
          <w:numId w:val="0"/>
        </w:numPr>
        <w:spacing w:beforeLines="0" w:afterLines="0"/>
        <w:ind w:firstLine="420" w:firstLineChars="200"/>
        <w:outlineLvl w:val="9"/>
      </w:pPr>
      <w:r>
        <w:rPr>
          <w:rFonts w:hint="eastAsia"/>
        </w:rPr>
        <w:t>切花杜鹃 cut rhododendron</w:t>
      </w:r>
    </w:p>
    <w:p w14:paraId="02AD5DD1">
      <w:pPr>
        <w:autoSpaceDE w:val="0"/>
        <w:autoSpaceDN w:val="0"/>
        <w:spacing w:line="240" w:lineRule="auto"/>
        <w:ind w:firstLine="420" w:firstLineChars="200"/>
        <w:rPr>
          <w:rFonts w:ascii="宋体"/>
        </w:rPr>
      </w:pPr>
      <w:r>
        <w:rPr>
          <w:rFonts w:hint="eastAsia" w:ascii="宋体"/>
        </w:rPr>
        <w:t>从杜鹃花</w:t>
      </w:r>
      <w:r>
        <w:rPr>
          <w:rFonts w:hint="eastAsia" w:ascii="Times New Roman"/>
        </w:rPr>
        <w:t>植株</w:t>
      </w:r>
      <w:r>
        <w:rPr>
          <w:rFonts w:hint="eastAsia" w:ascii="宋体"/>
        </w:rPr>
        <w:t>上剪切下来以观花、观枝为主的切枝，分为单枝切枝与多枝切枝</w:t>
      </w:r>
      <w:r>
        <w:rPr>
          <w:rFonts w:ascii="Times New Roman"/>
        </w:rPr>
        <w:t>2</w:t>
      </w:r>
      <w:r>
        <w:rPr>
          <w:rFonts w:hint="eastAsia" w:ascii="宋体"/>
        </w:rPr>
        <w:t>种类型。</w:t>
      </w:r>
    </w:p>
    <w:p w14:paraId="5B0B55C0">
      <w:pPr>
        <w:pStyle w:val="109"/>
        <w:spacing w:beforeLines="0" w:afterLines="0"/>
      </w:pPr>
    </w:p>
    <w:p w14:paraId="48ED32A7">
      <w:pPr>
        <w:pStyle w:val="109"/>
        <w:numPr>
          <w:ilvl w:val="2"/>
          <w:numId w:val="0"/>
        </w:numPr>
        <w:spacing w:beforeLines="0" w:afterLines="0"/>
        <w:ind w:firstLine="420" w:firstLineChars="200"/>
        <w:outlineLvl w:val="9"/>
      </w:pPr>
      <w:r>
        <w:rPr>
          <w:rFonts w:hint="eastAsia"/>
        </w:rPr>
        <w:t>单枝切枝 single branch cutting</w:t>
      </w:r>
    </w:p>
    <w:p w14:paraId="318DC325">
      <w:pPr>
        <w:autoSpaceDE w:val="0"/>
        <w:autoSpaceDN w:val="0"/>
        <w:spacing w:line="240" w:lineRule="auto"/>
        <w:ind w:firstLine="420" w:firstLineChars="200"/>
        <w:rPr>
          <w:rFonts w:ascii="Times New Roman"/>
        </w:rPr>
      </w:pPr>
      <w:r>
        <w:rPr>
          <w:rFonts w:hint="eastAsia" w:ascii="Times New Roman"/>
        </w:rPr>
        <w:t>采切时仅由顶芽或腋芽独立发育而来的一年生枝。</w:t>
      </w:r>
    </w:p>
    <w:p w14:paraId="0290CF5B">
      <w:pPr>
        <w:pStyle w:val="109"/>
        <w:spacing w:beforeLines="0" w:afterLines="0"/>
      </w:pPr>
    </w:p>
    <w:p w14:paraId="7F402F7B">
      <w:pPr>
        <w:pStyle w:val="109"/>
        <w:numPr>
          <w:ilvl w:val="2"/>
          <w:numId w:val="0"/>
        </w:numPr>
        <w:spacing w:beforeLines="0" w:afterLines="0"/>
        <w:ind w:firstLine="420" w:firstLineChars="200"/>
        <w:outlineLvl w:val="9"/>
      </w:pPr>
      <w:r>
        <w:rPr>
          <w:rFonts w:hint="eastAsia"/>
        </w:rPr>
        <w:t>多枝切枝 multi-branch cutting</w:t>
      </w:r>
    </w:p>
    <w:p w14:paraId="7066F59F">
      <w:pPr>
        <w:autoSpaceDE w:val="0"/>
        <w:autoSpaceDN w:val="0"/>
        <w:spacing w:line="240" w:lineRule="auto"/>
        <w:ind w:firstLine="420" w:firstLineChars="200"/>
        <w:rPr>
          <w:rFonts w:ascii="Times New Roman"/>
        </w:rPr>
      </w:pPr>
      <w:r>
        <w:rPr>
          <w:rFonts w:hint="eastAsia" w:ascii="Times New Roman"/>
        </w:rPr>
        <w:t>采切时包括顶芽和腋芽发育而来的多年生枝条，通常包括</w:t>
      </w:r>
      <w:r>
        <w:rPr>
          <w:rFonts w:ascii="Times New Roman" w:hAnsi="Times New Roman"/>
        </w:rPr>
        <w:t>2</w:t>
      </w:r>
      <w:r>
        <w:rPr>
          <w:rFonts w:hint="eastAsia" w:ascii="Times New Roman"/>
        </w:rPr>
        <w:t>个及以上的多级枝条。</w:t>
      </w:r>
    </w:p>
    <w:p w14:paraId="360328F7">
      <w:pPr>
        <w:pStyle w:val="108"/>
        <w:spacing w:before="312" w:after="312"/>
      </w:pPr>
      <w:bookmarkStart w:id="43" w:name="_Toc26986532"/>
      <w:bookmarkEnd w:id="43"/>
      <w:r>
        <w:rPr>
          <w:rFonts w:hint="eastAsia" w:ascii="Times New Roman"/>
          <w:szCs w:val="21"/>
        </w:rPr>
        <w:t>生产环境条件</w:t>
      </w:r>
    </w:p>
    <w:p w14:paraId="7AC8EE90">
      <w:pPr>
        <w:pStyle w:val="109"/>
        <w:spacing w:before="156" w:after="156"/>
      </w:pPr>
      <w:r>
        <w:rPr>
          <w:rFonts w:hint="eastAsia"/>
        </w:rPr>
        <w:t>气候条件</w:t>
      </w:r>
    </w:p>
    <w:p w14:paraId="4A5B0AE9">
      <w:pPr>
        <w:spacing w:line="240" w:lineRule="auto"/>
        <w:ind w:firstLine="420" w:firstLineChars="200"/>
        <w:rPr>
          <w:rFonts w:ascii="Times New Roman" w:eastAsia="黑体"/>
        </w:rPr>
      </w:pPr>
      <w:r>
        <w:rPr>
          <w:rFonts w:hint="eastAsia" w:ascii="Times New Roman" w:hAnsi="Times New Roman"/>
        </w:rPr>
        <w:t>切花杜鹃生产品种</w:t>
      </w:r>
      <w:r>
        <w:rPr>
          <w:rFonts w:ascii="Times New Roman" w:hAnsi="Times New Roman"/>
        </w:rPr>
        <w:t>生长适宜温度</w:t>
      </w:r>
      <w:r>
        <w:rPr>
          <w:rFonts w:hint="eastAsia" w:ascii="Times New Roman" w:hAnsi="Times New Roman"/>
        </w:rPr>
        <w:t>为</w:t>
      </w:r>
      <w:r>
        <w:rPr>
          <w:rFonts w:ascii="Times New Roman" w:hAnsi="Times New Roman"/>
        </w:rPr>
        <w:t>15</w:t>
      </w:r>
      <w:r>
        <w:rPr>
          <w:rFonts w:hint="eastAsia" w:ascii="宋体" w:hAnsi="宋体" w:cs="宋体"/>
        </w:rPr>
        <w:t>℃</w:t>
      </w:r>
      <w:r>
        <w:rPr>
          <w:rFonts w:hint="eastAsia" w:ascii="宋体" w:hAnsi="宋体" w:cs="宋体"/>
          <w:color w:val="000000"/>
          <w:kern w:val="0"/>
        </w:rPr>
        <w:t>～</w:t>
      </w:r>
      <w:r>
        <w:rPr>
          <w:rFonts w:hint="eastAsia" w:ascii="Times New Roman" w:hAnsi="Times New Roman"/>
        </w:rPr>
        <w:t>30</w:t>
      </w:r>
      <w:r>
        <w:rPr>
          <w:rFonts w:hint="eastAsia" w:ascii="宋体" w:hAnsi="宋体" w:cs="宋体"/>
        </w:rPr>
        <w:t>℃，日夜温差10℃左右。</w:t>
      </w:r>
      <w:r>
        <w:rPr>
          <w:rFonts w:hint="eastAsia" w:ascii="Times New Roman" w:hAnsi="Times New Roman"/>
        </w:rPr>
        <w:t>短期高温</w:t>
      </w:r>
      <w:r>
        <w:rPr>
          <w:rFonts w:ascii="Times New Roman" w:hAnsi="Times New Roman"/>
        </w:rPr>
        <w:t>不</w:t>
      </w:r>
      <w:r>
        <w:rPr>
          <w:rFonts w:hint="eastAsia" w:ascii="Times New Roman" w:hAnsi="Times New Roman"/>
        </w:rPr>
        <w:t>宜</w:t>
      </w:r>
      <w:r>
        <w:rPr>
          <w:rFonts w:ascii="Times New Roman" w:hAnsi="Times New Roman"/>
        </w:rPr>
        <w:t>超过</w:t>
      </w:r>
      <w:r>
        <w:rPr>
          <w:rFonts w:hint="eastAsia" w:ascii="Times New Roman" w:hAnsi="Times New Roman"/>
        </w:rPr>
        <w:t>40</w:t>
      </w:r>
      <w:r>
        <w:rPr>
          <w:rFonts w:hint="eastAsia" w:ascii="宋体" w:hAnsi="宋体" w:cs="宋体"/>
        </w:rPr>
        <w:t>℃</w:t>
      </w:r>
      <w:r>
        <w:rPr>
          <w:rFonts w:hint="eastAsia" w:ascii="Times New Roman" w:hAnsi="Times New Roman"/>
        </w:rPr>
        <w:t>，短期低温</w:t>
      </w:r>
      <w:r>
        <w:rPr>
          <w:rFonts w:ascii="Times New Roman" w:hAnsi="Times New Roman"/>
        </w:rPr>
        <w:t>不</w:t>
      </w:r>
      <w:r>
        <w:rPr>
          <w:rFonts w:hint="eastAsia" w:ascii="Times New Roman" w:hAnsi="Times New Roman"/>
        </w:rPr>
        <w:t>宜</w:t>
      </w:r>
      <w:r>
        <w:rPr>
          <w:rFonts w:ascii="Times New Roman" w:hAnsi="Times New Roman"/>
        </w:rPr>
        <w:t>低于</w:t>
      </w:r>
      <w:r>
        <w:rPr>
          <w:rFonts w:hint="eastAsia" w:ascii="Times New Roman" w:hAnsi="Times New Roman"/>
        </w:rPr>
        <w:t>-10</w:t>
      </w:r>
      <w:r>
        <w:rPr>
          <w:rFonts w:hint="eastAsia" w:ascii="宋体" w:hAnsi="宋体" w:cs="宋体"/>
        </w:rPr>
        <w:t>℃</w:t>
      </w:r>
      <w:r>
        <w:rPr>
          <w:rFonts w:ascii="Times New Roman" w:hAnsi="Times New Roman"/>
        </w:rPr>
        <w:t>。</w:t>
      </w:r>
    </w:p>
    <w:p w14:paraId="4C676DC8">
      <w:pPr>
        <w:pStyle w:val="109"/>
        <w:spacing w:before="156" w:after="156"/>
      </w:pPr>
      <w:r>
        <w:rPr>
          <w:rFonts w:hint="eastAsia"/>
        </w:rPr>
        <w:t>园地选择</w:t>
      </w:r>
    </w:p>
    <w:p w14:paraId="4791CD94">
      <w:pPr>
        <w:spacing w:line="240" w:lineRule="auto"/>
        <w:ind w:firstLine="420" w:firstLineChars="200"/>
        <w:rPr>
          <w:rFonts w:ascii="Times New Roman" w:hAnsi="Times New Roman" w:eastAsia="黑体"/>
        </w:rPr>
      </w:pPr>
      <w:r>
        <w:rPr>
          <w:rFonts w:ascii="Times New Roman" w:hAnsi="Times New Roman"/>
        </w:rPr>
        <w:t>宜选择交通便利、排灌方便、</w:t>
      </w:r>
      <w:r>
        <w:rPr>
          <w:rFonts w:hint="eastAsia" w:ascii="Times New Roman" w:hAnsi="Times New Roman"/>
        </w:rPr>
        <w:t>通风良好、</w:t>
      </w:r>
      <w:r>
        <w:rPr>
          <w:rFonts w:ascii="Times New Roman" w:hAnsi="Times New Roman"/>
        </w:rPr>
        <w:t>土层深厚疏松</w:t>
      </w:r>
      <w:r>
        <w:rPr>
          <w:rFonts w:hint="eastAsia" w:ascii="Times New Roman" w:hAnsi="Times New Roman"/>
        </w:rPr>
        <w:t>的苗圃地。土壤适宜pH为4.5</w:t>
      </w:r>
      <w:r>
        <w:rPr>
          <w:rFonts w:hint="eastAsia" w:ascii="宋体" w:hAnsi="宋体" w:cs="宋体"/>
          <w:kern w:val="0"/>
        </w:rPr>
        <w:t>～</w:t>
      </w:r>
      <w:r>
        <w:rPr>
          <w:rFonts w:hint="eastAsia" w:ascii="Times New Roman" w:hAnsi="Times New Roman"/>
        </w:rPr>
        <w:t>6.0，若pH过高，可适当添加</w:t>
      </w:r>
      <w:r>
        <w:rPr>
          <w:rFonts w:hint="eastAsia" w:ascii="Times New Roman"/>
        </w:rPr>
        <w:t>腐熟的</w:t>
      </w:r>
      <w:r>
        <w:rPr>
          <w:rFonts w:hint="eastAsia" w:ascii="Times New Roman" w:hAnsi="Times New Roman"/>
          <w:kern w:val="0"/>
        </w:rPr>
        <w:t>木屑、松针等进行</w:t>
      </w:r>
      <w:r>
        <w:rPr>
          <w:rFonts w:ascii="Times New Roman" w:hAnsi="Times New Roman"/>
          <w:kern w:val="0"/>
        </w:rPr>
        <w:t>土壤改良。</w:t>
      </w:r>
    </w:p>
    <w:p w14:paraId="68AC44D4">
      <w:pPr>
        <w:pStyle w:val="109"/>
        <w:spacing w:before="156" w:after="156"/>
      </w:pPr>
      <w:r>
        <w:rPr>
          <w:rFonts w:hint="eastAsia"/>
        </w:rPr>
        <w:t>园地规划</w:t>
      </w:r>
    </w:p>
    <w:p w14:paraId="195325D8">
      <w:pPr>
        <w:spacing w:line="240" w:lineRule="auto"/>
        <w:ind w:firstLine="420" w:firstLineChars="200"/>
        <w:rPr>
          <w:rFonts w:ascii="宋体" w:hAnsi="宋体" w:cs="宋体"/>
        </w:rPr>
      </w:pPr>
      <w:r>
        <w:rPr>
          <w:rFonts w:ascii="Times New Roman" w:hAnsi="Times New Roman"/>
        </w:rPr>
        <w:t>依据园地栽培区面积、规模、自然地形地势</w:t>
      </w:r>
      <w:r>
        <w:rPr>
          <w:rFonts w:hint="eastAsia" w:ascii="Times New Roman" w:hAnsi="Times New Roman"/>
        </w:rPr>
        <w:t>以及植株生长习性</w:t>
      </w:r>
      <w:r>
        <w:rPr>
          <w:rFonts w:ascii="Times New Roman" w:hAnsi="Times New Roman"/>
        </w:rPr>
        <w:t>进行合理布局。排</w:t>
      </w:r>
      <w:r>
        <w:rPr>
          <w:rFonts w:hint="eastAsia" w:ascii="Times New Roman" w:hAnsi="Times New Roman"/>
        </w:rPr>
        <w:t>灌</w:t>
      </w:r>
      <w:r>
        <w:rPr>
          <w:rFonts w:ascii="Times New Roman" w:hAnsi="Times New Roman"/>
        </w:rPr>
        <w:t>系统</w:t>
      </w:r>
      <w:r>
        <w:rPr>
          <w:rFonts w:hint="eastAsia" w:ascii="Times New Roman" w:hAnsi="Times New Roman"/>
        </w:rPr>
        <w:t>应</w:t>
      </w:r>
      <w:r>
        <w:rPr>
          <w:rFonts w:ascii="Times New Roman" w:hAnsi="Times New Roman"/>
        </w:rPr>
        <w:t>按GB 50288规定执行。</w:t>
      </w:r>
    </w:p>
    <w:p w14:paraId="5BCF00FC">
      <w:pPr>
        <w:pStyle w:val="108"/>
        <w:spacing w:before="312" w:after="312"/>
      </w:pPr>
      <w:r>
        <w:rPr>
          <w:rFonts w:hint="eastAsia" w:ascii="Times New Roman"/>
          <w:szCs w:val="21"/>
        </w:rPr>
        <w:t>种苗选择</w:t>
      </w:r>
    </w:p>
    <w:p w14:paraId="518E47E3">
      <w:pPr>
        <w:pStyle w:val="109"/>
        <w:spacing w:before="156" w:after="156"/>
      </w:pPr>
      <w:r>
        <w:rPr>
          <w:rFonts w:hint="eastAsia" w:ascii="Times New Roman"/>
          <w:szCs w:val="21"/>
        </w:rPr>
        <w:t>选择标准</w:t>
      </w:r>
    </w:p>
    <w:p w14:paraId="75560CE3">
      <w:pPr>
        <w:pStyle w:val="113"/>
        <w:numPr>
          <w:ilvl w:val="0"/>
          <w:numId w:val="0"/>
        </w:numPr>
        <w:ind w:firstLine="420" w:firstLineChars="200"/>
      </w:pPr>
      <w:r>
        <w:rPr>
          <w:rFonts w:hint="eastAsia" w:ascii="黑体" w:cs="黑体"/>
          <w:szCs w:val="21"/>
        </w:rPr>
        <w:t>选择观赏效果好、瓶插期长、抗病、适应性强、鲜切花产量高的优良种或品种。江苏地区适宜作切花的杜鹃花参考附录</w:t>
      </w:r>
      <w:r>
        <w:rPr>
          <w:rFonts w:ascii="Times New Roman"/>
          <w:szCs w:val="21"/>
        </w:rPr>
        <w:t>A</w:t>
      </w:r>
      <w:r>
        <w:rPr>
          <w:rFonts w:hint="eastAsia" w:ascii="黑体" w:cs="黑体"/>
          <w:szCs w:val="21"/>
        </w:rPr>
        <w:t>。</w:t>
      </w:r>
    </w:p>
    <w:p w14:paraId="0F8DEEA9">
      <w:pPr>
        <w:pStyle w:val="109"/>
        <w:spacing w:before="156" w:after="156"/>
      </w:pPr>
      <w:r>
        <w:rPr>
          <w:rFonts w:hint="eastAsia"/>
        </w:rPr>
        <w:t>种苗繁殖</w:t>
      </w:r>
    </w:p>
    <w:p w14:paraId="2D60406C">
      <w:pPr>
        <w:autoSpaceDE w:val="0"/>
        <w:autoSpaceDN w:val="0"/>
        <w:spacing w:line="240" w:lineRule="auto"/>
        <w:ind w:firstLine="420" w:firstLineChars="200"/>
        <w:rPr>
          <w:rFonts w:ascii="黑体" w:cs="黑体"/>
        </w:rPr>
      </w:pPr>
      <w:r>
        <w:rPr>
          <w:rFonts w:hint="eastAsia" w:ascii="Times New Roman" w:hAnsi="Times New Roman"/>
          <w:kern w:val="0"/>
        </w:rPr>
        <w:t>切花杜鹃种苗繁殖</w:t>
      </w:r>
      <w:r>
        <w:rPr>
          <w:rFonts w:hint="eastAsia" w:ascii="Times New Roman"/>
          <w:kern w:val="0"/>
        </w:rPr>
        <w:t>按</w:t>
      </w:r>
      <w:r>
        <w:rPr>
          <w:rFonts w:hint="eastAsia" w:ascii="Times New Roman"/>
        </w:rPr>
        <w:t>DB32/T 2576</w:t>
      </w:r>
      <w:r>
        <w:rPr>
          <w:rFonts w:hint="eastAsia" w:ascii="Times New Roman"/>
          <w:kern w:val="0"/>
        </w:rPr>
        <w:t>规定执行</w:t>
      </w:r>
      <w:r>
        <w:rPr>
          <w:rFonts w:ascii="Times New Roman" w:hAnsi="Times New Roman"/>
          <w:kern w:val="0"/>
        </w:rPr>
        <w:t>。</w:t>
      </w:r>
      <w:r>
        <w:rPr>
          <w:rFonts w:hint="eastAsia"/>
        </w:rPr>
        <w:t xml:space="preserve"> </w:t>
      </w:r>
    </w:p>
    <w:p w14:paraId="3301F590">
      <w:pPr>
        <w:pStyle w:val="108"/>
        <w:spacing w:before="312" w:after="156" w:afterLines="50"/>
      </w:pPr>
      <w:r>
        <w:rPr>
          <w:rFonts w:hint="eastAsia" w:ascii="Times New Roman"/>
          <w:szCs w:val="21"/>
        </w:rPr>
        <w:t>定植</w:t>
      </w:r>
    </w:p>
    <w:p w14:paraId="6FEDDB18">
      <w:pPr>
        <w:pStyle w:val="109"/>
        <w:spacing w:before="156" w:after="156"/>
      </w:pPr>
      <w:r>
        <w:rPr>
          <w:rFonts w:hint="eastAsia" w:ascii="Times New Roman"/>
          <w:szCs w:val="21"/>
        </w:rPr>
        <w:t>定植时间</w:t>
      </w:r>
    </w:p>
    <w:p w14:paraId="564F9C22">
      <w:pPr>
        <w:pStyle w:val="60"/>
        <w:ind w:firstLine="420"/>
      </w:pPr>
      <w:r>
        <w:rPr>
          <w:rFonts w:hint="eastAsia" w:ascii="Times New Roman"/>
          <w:szCs w:val="21"/>
        </w:rPr>
        <w:t>扦插苗定植时间按</w:t>
      </w:r>
      <w:r>
        <w:rPr>
          <w:rFonts w:hint="eastAsia" w:ascii="Times New Roman"/>
        </w:rPr>
        <w:t>DB32/T 2576</w:t>
      </w:r>
      <w:r>
        <w:rPr>
          <w:rFonts w:hint="eastAsia" w:ascii="Times New Roman"/>
          <w:szCs w:val="21"/>
        </w:rPr>
        <w:t>规定执行</w:t>
      </w:r>
      <w:r>
        <w:rPr>
          <w:rFonts w:ascii="Times New Roman"/>
          <w:szCs w:val="21"/>
        </w:rPr>
        <w:t>。</w:t>
      </w:r>
    </w:p>
    <w:p w14:paraId="5145C58F">
      <w:pPr>
        <w:pStyle w:val="109"/>
        <w:spacing w:before="156" w:after="156"/>
      </w:pPr>
      <w:r>
        <w:rPr>
          <w:rFonts w:hint="eastAsia" w:ascii="Times New Roman"/>
          <w:szCs w:val="21"/>
        </w:rPr>
        <w:t>定植准备</w:t>
      </w:r>
    </w:p>
    <w:p w14:paraId="43F5AE1F">
      <w:pPr>
        <w:pStyle w:val="60"/>
        <w:ind w:firstLine="420"/>
      </w:pPr>
      <w:r>
        <w:rPr>
          <w:rFonts w:hint="eastAsia" w:ascii="Times New Roman"/>
          <w:szCs w:val="21"/>
        </w:rPr>
        <w:t>种苗应</w:t>
      </w:r>
      <w:r>
        <w:rPr>
          <w:rFonts w:ascii="Times New Roman"/>
          <w:szCs w:val="21"/>
        </w:rPr>
        <w:t>剪去</w:t>
      </w:r>
      <w:r>
        <w:rPr>
          <w:rFonts w:hint="eastAsia" w:ascii="Times New Roman"/>
          <w:szCs w:val="21"/>
        </w:rPr>
        <w:t>受</w:t>
      </w:r>
      <w:r>
        <w:rPr>
          <w:rFonts w:ascii="Times New Roman"/>
          <w:szCs w:val="21"/>
        </w:rPr>
        <w:t>伤根、</w:t>
      </w:r>
      <w:r>
        <w:rPr>
          <w:rFonts w:hint="eastAsia" w:ascii="Times New Roman"/>
          <w:szCs w:val="21"/>
        </w:rPr>
        <w:t>腐</w:t>
      </w:r>
      <w:r>
        <w:rPr>
          <w:rFonts w:ascii="Times New Roman"/>
          <w:szCs w:val="21"/>
        </w:rPr>
        <w:t>烂根和</w:t>
      </w:r>
      <w:r>
        <w:rPr>
          <w:rFonts w:hint="eastAsia" w:ascii="Times New Roman"/>
          <w:szCs w:val="21"/>
        </w:rPr>
        <w:t>过长</w:t>
      </w:r>
      <w:r>
        <w:rPr>
          <w:rFonts w:ascii="Times New Roman"/>
          <w:szCs w:val="21"/>
        </w:rPr>
        <w:t>根，移栽不易成活的种类</w:t>
      </w:r>
      <w:r>
        <w:rPr>
          <w:rFonts w:hint="eastAsia" w:ascii="Times New Roman"/>
          <w:szCs w:val="21"/>
        </w:rPr>
        <w:t>应</w:t>
      </w:r>
      <w:r>
        <w:rPr>
          <w:rFonts w:ascii="Times New Roman"/>
          <w:szCs w:val="21"/>
        </w:rPr>
        <w:t>带完整</w:t>
      </w:r>
      <w:r>
        <w:rPr>
          <w:rFonts w:hint="eastAsia" w:ascii="Times New Roman"/>
          <w:szCs w:val="21"/>
        </w:rPr>
        <w:t>土</w:t>
      </w:r>
      <w:r>
        <w:rPr>
          <w:rFonts w:ascii="Times New Roman"/>
          <w:szCs w:val="21"/>
        </w:rPr>
        <w:t>团。土壤</w:t>
      </w:r>
      <w:r>
        <w:rPr>
          <w:rFonts w:hint="eastAsia" w:ascii="Times New Roman"/>
          <w:szCs w:val="21"/>
        </w:rPr>
        <w:t>应</w:t>
      </w:r>
      <w:r>
        <w:rPr>
          <w:rFonts w:ascii="Times New Roman"/>
          <w:szCs w:val="21"/>
        </w:rPr>
        <w:t>深翻50</w:t>
      </w:r>
      <w:r>
        <w:rPr>
          <w:rFonts w:hint="eastAsia" w:ascii="Times New Roman"/>
          <w:szCs w:val="21"/>
        </w:rPr>
        <w:t xml:space="preserve"> </w:t>
      </w:r>
      <w:r>
        <w:rPr>
          <w:rFonts w:ascii="Times New Roman"/>
          <w:szCs w:val="21"/>
        </w:rPr>
        <w:t>cm，地垄宽1</w:t>
      </w:r>
      <w:r>
        <w:rPr>
          <w:rFonts w:hint="eastAsia" w:ascii="Times New Roman"/>
          <w:szCs w:val="21"/>
        </w:rPr>
        <w:t xml:space="preserve"> </w:t>
      </w:r>
      <w:r>
        <w:rPr>
          <w:rFonts w:ascii="Times New Roman"/>
          <w:szCs w:val="21"/>
        </w:rPr>
        <w:t>m</w:t>
      </w:r>
      <w:r>
        <w:rPr>
          <w:rFonts w:hint="eastAsia" w:hAnsi="宋体" w:cs="宋体"/>
        </w:rPr>
        <w:t>～</w:t>
      </w:r>
      <w:r>
        <w:rPr>
          <w:rFonts w:ascii="Times New Roman"/>
          <w:szCs w:val="21"/>
        </w:rPr>
        <w:t>2</w:t>
      </w:r>
      <w:r>
        <w:rPr>
          <w:rFonts w:hint="eastAsia" w:ascii="Times New Roman"/>
          <w:szCs w:val="21"/>
        </w:rPr>
        <w:t xml:space="preserve"> </w:t>
      </w:r>
      <w:r>
        <w:rPr>
          <w:rFonts w:ascii="Times New Roman"/>
          <w:szCs w:val="21"/>
        </w:rPr>
        <w:t>m。地垄间的水渠宽50</w:t>
      </w:r>
      <w:r>
        <w:rPr>
          <w:rFonts w:hint="eastAsia" w:ascii="Times New Roman"/>
          <w:szCs w:val="21"/>
        </w:rPr>
        <w:t xml:space="preserve"> </w:t>
      </w:r>
      <w:r>
        <w:rPr>
          <w:rFonts w:ascii="Times New Roman"/>
          <w:szCs w:val="21"/>
        </w:rPr>
        <w:t>cm左右，深20</w:t>
      </w:r>
      <w:r>
        <w:rPr>
          <w:rFonts w:hint="eastAsia" w:ascii="Times New Roman"/>
          <w:szCs w:val="21"/>
        </w:rPr>
        <w:t xml:space="preserve"> </w:t>
      </w:r>
      <w:r>
        <w:rPr>
          <w:rFonts w:ascii="Times New Roman"/>
          <w:szCs w:val="21"/>
        </w:rPr>
        <w:t>cm</w:t>
      </w:r>
      <w:r>
        <w:rPr>
          <w:rFonts w:hint="eastAsia" w:hAnsi="宋体" w:cs="宋体"/>
        </w:rPr>
        <w:t>～</w:t>
      </w:r>
      <w:r>
        <w:rPr>
          <w:rFonts w:ascii="Times New Roman"/>
          <w:szCs w:val="21"/>
        </w:rPr>
        <w:t>30</w:t>
      </w:r>
      <w:r>
        <w:rPr>
          <w:rFonts w:hint="eastAsia" w:ascii="Times New Roman"/>
          <w:szCs w:val="21"/>
        </w:rPr>
        <w:t xml:space="preserve"> </w:t>
      </w:r>
      <w:r>
        <w:rPr>
          <w:rFonts w:ascii="Times New Roman"/>
          <w:szCs w:val="21"/>
        </w:rPr>
        <w:t>cm。</w:t>
      </w:r>
    </w:p>
    <w:p w14:paraId="479AE713">
      <w:pPr>
        <w:pStyle w:val="109"/>
        <w:spacing w:before="156" w:after="156"/>
      </w:pPr>
      <w:r>
        <w:rPr>
          <w:rFonts w:hint="eastAsia" w:ascii="Times New Roman"/>
          <w:szCs w:val="21"/>
        </w:rPr>
        <w:t>定植密度</w:t>
      </w:r>
      <w:r>
        <w:t xml:space="preserve"> </w:t>
      </w:r>
      <w:r>
        <w:rPr>
          <w:rFonts w:hint="eastAsia"/>
        </w:rPr>
        <w:t xml:space="preserve"> </w:t>
      </w:r>
    </w:p>
    <w:p w14:paraId="150974DB">
      <w:pPr>
        <w:autoSpaceDE w:val="0"/>
        <w:autoSpaceDN w:val="0"/>
        <w:spacing w:line="240" w:lineRule="auto"/>
        <w:ind w:firstLine="420" w:firstLineChars="200"/>
      </w:pPr>
      <w:r>
        <w:rPr>
          <w:rFonts w:hint="eastAsia" w:ascii="Times New Roman" w:hAnsi="Times New Roman"/>
          <w:kern w:val="0"/>
        </w:rPr>
        <w:t>按种苗树</w:t>
      </w:r>
      <w:r>
        <w:rPr>
          <w:rFonts w:ascii="Times New Roman" w:hAnsi="Times New Roman"/>
          <w:kern w:val="0"/>
        </w:rPr>
        <w:t>冠间距20</w:t>
      </w:r>
      <w:r>
        <w:rPr>
          <w:rFonts w:hint="eastAsia" w:ascii="Times New Roman" w:hAnsi="Times New Roman"/>
          <w:kern w:val="0"/>
        </w:rPr>
        <w:t xml:space="preserve"> </w:t>
      </w:r>
      <w:r>
        <w:rPr>
          <w:rFonts w:ascii="Times New Roman" w:hAnsi="Times New Roman"/>
          <w:kern w:val="0"/>
        </w:rPr>
        <w:t>cm</w:t>
      </w:r>
      <w:r>
        <w:rPr>
          <w:rFonts w:hint="eastAsia" w:ascii="宋体" w:hAnsi="宋体" w:cs="宋体"/>
          <w:kern w:val="0"/>
        </w:rPr>
        <w:t>～</w:t>
      </w:r>
      <w:r>
        <w:rPr>
          <w:rFonts w:ascii="Times New Roman" w:hAnsi="Times New Roman"/>
          <w:kern w:val="0"/>
        </w:rPr>
        <w:t>30</w:t>
      </w:r>
      <w:r>
        <w:rPr>
          <w:rFonts w:hint="eastAsia" w:ascii="Times New Roman" w:hAnsi="Times New Roman"/>
          <w:kern w:val="0"/>
        </w:rPr>
        <w:t xml:space="preserve"> </w:t>
      </w:r>
      <w:r>
        <w:rPr>
          <w:rFonts w:ascii="Times New Roman" w:hAnsi="Times New Roman"/>
          <w:kern w:val="0"/>
        </w:rPr>
        <w:t>cm</w:t>
      </w:r>
      <w:r>
        <w:rPr>
          <w:rFonts w:hint="eastAsia" w:ascii="Times New Roman" w:hAnsi="Times New Roman"/>
          <w:kern w:val="0"/>
        </w:rPr>
        <w:t>栽植</w:t>
      </w:r>
      <w:r>
        <w:rPr>
          <w:rFonts w:hint="eastAsia" w:ascii="Times New Roman" w:hAnsi="Times New Roman"/>
        </w:rPr>
        <w:t>。</w:t>
      </w:r>
    </w:p>
    <w:p w14:paraId="1EA45976">
      <w:pPr>
        <w:pStyle w:val="109"/>
        <w:spacing w:before="156" w:after="156"/>
      </w:pPr>
      <w:r>
        <w:rPr>
          <w:rFonts w:hint="eastAsia" w:ascii="Times New Roman"/>
          <w:szCs w:val="21"/>
        </w:rPr>
        <w:t>定植方法</w:t>
      </w:r>
      <w:r>
        <w:rPr>
          <w:rFonts w:hint="eastAsia"/>
        </w:rPr>
        <w:t xml:space="preserve"> </w:t>
      </w:r>
    </w:p>
    <w:p w14:paraId="282D9CA5">
      <w:pPr>
        <w:pStyle w:val="60"/>
        <w:ind w:firstLine="420"/>
      </w:pPr>
      <w:r>
        <w:rPr>
          <w:rFonts w:hint="eastAsia" w:ascii="Times New Roman"/>
          <w:szCs w:val="21"/>
        </w:rPr>
        <w:t>应使植株</w:t>
      </w:r>
      <w:r>
        <w:rPr>
          <w:rFonts w:ascii="Times New Roman"/>
          <w:szCs w:val="21"/>
        </w:rPr>
        <w:t>根系</w:t>
      </w:r>
      <w:r>
        <w:rPr>
          <w:rFonts w:hint="eastAsia" w:ascii="Times New Roman"/>
          <w:szCs w:val="21"/>
        </w:rPr>
        <w:t>完全</w:t>
      </w:r>
      <w:r>
        <w:rPr>
          <w:rFonts w:ascii="Times New Roman"/>
          <w:szCs w:val="21"/>
        </w:rPr>
        <w:t>舒展</w:t>
      </w:r>
      <w:r>
        <w:rPr>
          <w:rFonts w:hint="eastAsia" w:ascii="Times New Roman"/>
          <w:szCs w:val="21"/>
        </w:rPr>
        <w:t>，并与</w:t>
      </w:r>
      <w:r>
        <w:rPr>
          <w:rFonts w:ascii="Times New Roman"/>
          <w:szCs w:val="21"/>
        </w:rPr>
        <w:t>土壤密切接触</w:t>
      </w:r>
      <w:r>
        <w:rPr>
          <w:rFonts w:hint="eastAsia" w:ascii="Times New Roman"/>
          <w:szCs w:val="21"/>
        </w:rPr>
        <w:t>，</w:t>
      </w:r>
      <w:r>
        <w:rPr>
          <w:rFonts w:ascii="Times New Roman"/>
          <w:szCs w:val="21"/>
        </w:rPr>
        <w:t>土坑</w:t>
      </w:r>
      <w:r>
        <w:rPr>
          <w:rFonts w:hint="eastAsia" w:ascii="Times New Roman"/>
          <w:szCs w:val="21"/>
        </w:rPr>
        <w:t>直径</w:t>
      </w:r>
      <w:r>
        <w:rPr>
          <w:rFonts w:ascii="Times New Roman"/>
          <w:szCs w:val="21"/>
        </w:rPr>
        <w:t>比</w:t>
      </w:r>
      <w:r>
        <w:rPr>
          <w:rFonts w:hint="eastAsia" w:ascii="Times New Roman"/>
          <w:szCs w:val="21"/>
        </w:rPr>
        <w:t>植株</w:t>
      </w:r>
      <w:r>
        <w:rPr>
          <w:rFonts w:ascii="Times New Roman"/>
          <w:szCs w:val="21"/>
        </w:rPr>
        <w:t>土球</w:t>
      </w:r>
      <w:r>
        <w:rPr>
          <w:rFonts w:hint="eastAsia" w:ascii="Times New Roman"/>
          <w:szCs w:val="21"/>
        </w:rPr>
        <w:t>直径宽</w:t>
      </w:r>
      <w:r>
        <w:rPr>
          <w:rFonts w:ascii="Times New Roman"/>
          <w:szCs w:val="21"/>
        </w:rPr>
        <w:t>10</w:t>
      </w:r>
      <w:r>
        <w:rPr>
          <w:rFonts w:hint="eastAsia" w:ascii="Times New Roman"/>
          <w:szCs w:val="21"/>
        </w:rPr>
        <w:t xml:space="preserve"> </w:t>
      </w:r>
      <w:r>
        <w:rPr>
          <w:rFonts w:ascii="Times New Roman"/>
          <w:szCs w:val="21"/>
        </w:rPr>
        <w:t>cm</w:t>
      </w:r>
      <w:r>
        <w:rPr>
          <w:rFonts w:hint="eastAsia" w:hAnsi="宋体" w:cs="宋体"/>
        </w:rPr>
        <w:t>～</w:t>
      </w:r>
      <w:r>
        <w:rPr>
          <w:rFonts w:ascii="Times New Roman"/>
          <w:szCs w:val="21"/>
        </w:rPr>
        <w:t>15</w:t>
      </w:r>
      <w:r>
        <w:rPr>
          <w:rFonts w:hint="eastAsia" w:ascii="Times New Roman"/>
          <w:szCs w:val="21"/>
        </w:rPr>
        <w:t xml:space="preserve"> </w:t>
      </w:r>
      <w:r>
        <w:rPr>
          <w:rFonts w:ascii="Times New Roman"/>
          <w:szCs w:val="21"/>
        </w:rPr>
        <w:t>cm</w:t>
      </w:r>
      <w:r>
        <w:rPr>
          <w:rFonts w:hint="eastAsia" w:ascii="Times New Roman"/>
          <w:szCs w:val="21"/>
        </w:rPr>
        <w:t>。定植完成后，应充分浇灌</w:t>
      </w:r>
      <w:r>
        <w:rPr>
          <w:rFonts w:ascii="Times New Roman"/>
          <w:szCs w:val="21"/>
        </w:rPr>
        <w:t>定根水。</w:t>
      </w:r>
    </w:p>
    <w:p w14:paraId="7A6F21B8">
      <w:pPr>
        <w:pStyle w:val="108"/>
        <w:spacing w:before="312" w:after="156" w:afterLines="50"/>
      </w:pPr>
      <w:r>
        <w:rPr>
          <w:rFonts w:hint="eastAsia" w:ascii="Times New Roman"/>
          <w:szCs w:val="21"/>
        </w:rPr>
        <w:t>田间管理</w:t>
      </w:r>
    </w:p>
    <w:p w14:paraId="52C724C1">
      <w:pPr>
        <w:pStyle w:val="109"/>
        <w:spacing w:before="156" w:after="156"/>
      </w:pPr>
      <w:r>
        <w:rPr>
          <w:rFonts w:hint="eastAsia" w:ascii="Times New Roman"/>
          <w:szCs w:val="21"/>
        </w:rPr>
        <w:t>施肥管理</w:t>
      </w:r>
    </w:p>
    <w:p w14:paraId="0CDAFFAB">
      <w:pPr>
        <w:spacing w:line="240" w:lineRule="auto"/>
        <w:ind w:firstLine="420"/>
      </w:pPr>
      <w:r>
        <w:rPr>
          <w:rFonts w:hint="eastAsia" w:ascii="Times New Roman" w:hAnsi="Times New Roman"/>
        </w:rPr>
        <w:t>遵循</w:t>
      </w:r>
      <w:r>
        <w:rPr>
          <w:rFonts w:ascii="Times New Roman" w:hAnsi="Times New Roman"/>
        </w:rPr>
        <w:t>薄肥勤施原则。</w:t>
      </w:r>
      <w:r>
        <w:rPr>
          <w:rFonts w:hint="eastAsia" w:ascii="Times New Roman" w:hAnsi="Times New Roman"/>
        </w:rPr>
        <w:t>春季生长期用</w:t>
      </w:r>
      <w:r>
        <w:rPr>
          <w:rFonts w:ascii="Times New Roman" w:hAnsi="Times New Roman"/>
        </w:rPr>
        <w:t>氮磷钾三要素复合肥撒施</w:t>
      </w:r>
      <w:r>
        <w:rPr>
          <w:rFonts w:hint="eastAsia" w:ascii="Times New Roman" w:hAnsi="Times New Roman"/>
        </w:rPr>
        <w:t>。</w:t>
      </w:r>
      <w:r>
        <w:rPr>
          <w:rFonts w:ascii="Times New Roman" w:hAnsi="Times New Roman"/>
        </w:rPr>
        <w:t>复合肥比例为</w:t>
      </w:r>
      <w:r>
        <w:rPr>
          <w:rFonts w:hint="eastAsia" w:ascii="Times New Roman" w:hAnsi="Times New Roman"/>
          <w:kern w:val="0"/>
        </w:rPr>
        <w:t>N：P：K</w:t>
      </w:r>
      <w:r>
        <w:rPr>
          <w:rFonts w:ascii="Times New Roman" w:hAnsi="Times New Roman"/>
        </w:rPr>
        <w:t>=</w:t>
      </w:r>
      <w:r>
        <w:rPr>
          <w:rFonts w:hint="eastAsia" w:ascii="Times New Roman" w:hAnsi="Times New Roman"/>
        </w:rPr>
        <w:t>1：1：1</w:t>
      </w:r>
      <w:r>
        <w:rPr>
          <w:rFonts w:ascii="Times New Roman" w:hAnsi="Times New Roman"/>
        </w:rPr>
        <w:t>，</w:t>
      </w:r>
      <w:r>
        <w:rPr>
          <w:rFonts w:hint="eastAsia" w:ascii="Times New Roman" w:hAnsi="Times New Roman"/>
        </w:rPr>
        <w:t>每667 m</w:t>
      </w:r>
      <w:r>
        <w:rPr>
          <w:rFonts w:hint="eastAsia" w:ascii="Times New Roman" w:hAnsi="Times New Roman"/>
          <w:vertAlign w:val="superscript"/>
        </w:rPr>
        <w:t>2</w:t>
      </w:r>
      <w:r>
        <w:rPr>
          <w:rFonts w:hint="eastAsia" w:ascii="Times New Roman" w:hAnsi="Times New Roman"/>
        </w:rPr>
        <w:t xml:space="preserve">施用4 </w:t>
      </w:r>
      <w:r>
        <w:rPr>
          <w:rFonts w:ascii="Times New Roman" w:hAnsi="Times New Roman"/>
        </w:rPr>
        <w:t>kg</w:t>
      </w:r>
      <w:r>
        <w:rPr>
          <w:rFonts w:hint="eastAsia" w:ascii="宋体" w:hAnsi="宋体" w:cs="宋体"/>
          <w:kern w:val="0"/>
        </w:rPr>
        <w:t>～</w:t>
      </w:r>
      <w:r>
        <w:rPr>
          <w:rFonts w:hint="eastAsia" w:ascii="Times New Roman" w:hAnsi="Times New Roman"/>
        </w:rPr>
        <w:t xml:space="preserve">6 </w:t>
      </w:r>
      <w:r>
        <w:rPr>
          <w:rFonts w:ascii="Times New Roman" w:hAnsi="Times New Roman"/>
        </w:rPr>
        <w:t>kg</w:t>
      </w:r>
      <w:r>
        <w:rPr>
          <w:rFonts w:hint="eastAsia" w:ascii="Times New Roman" w:hAnsi="Times New Roman"/>
        </w:rPr>
        <w:t>，</w:t>
      </w:r>
      <w:r>
        <w:rPr>
          <w:rFonts w:ascii="Times New Roman" w:hAnsi="Times New Roman"/>
        </w:rPr>
        <w:t>兼施1</w:t>
      </w:r>
      <w:r>
        <w:rPr>
          <w:rFonts w:hint="eastAsia" w:ascii="宋体" w:hAnsi="宋体" w:cs="宋体"/>
          <w:kern w:val="0"/>
        </w:rPr>
        <w:t>～</w:t>
      </w:r>
      <w:r>
        <w:rPr>
          <w:rFonts w:ascii="Times New Roman" w:hAnsi="Times New Roman"/>
        </w:rPr>
        <w:t>2次0.1%</w:t>
      </w:r>
      <w:r>
        <w:rPr>
          <w:rFonts w:hint="eastAsia" w:ascii="宋体" w:hAnsi="宋体" w:cs="宋体"/>
          <w:kern w:val="0"/>
        </w:rPr>
        <w:t>～</w:t>
      </w:r>
      <w:r>
        <w:rPr>
          <w:rFonts w:ascii="Times New Roman" w:hAnsi="Times New Roman"/>
        </w:rPr>
        <w:t>0.2%硫酸亚铁溶液</w:t>
      </w:r>
      <w:r>
        <w:rPr>
          <w:rFonts w:hint="eastAsia" w:ascii="Times New Roman" w:hAnsi="Times New Roman"/>
        </w:rPr>
        <w:t>。</w:t>
      </w:r>
      <w:r>
        <w:rPr>
          <w:rFonts w:ascii="Times New Roman" w:hAnsi="Times New Roman"/>
        </w:rPr>
        <w:t>秋季孕蕾期以磷、钾肥为主</w:t>
      </w:r>
      <w:r>
        <w:rPr>
          <w:rFonts w:hint="eastAsia" w:ascii="Times New Roman" w:hAnsi="Times New Roman"/>
        </w:rPr>
        <w:t>，</w:t>
      </w:r>
      <w:r>
        <w:rPr>
          <w:rFonts w:ascii="Times New Roman" w:hAnsi="Times New Roman"/>
        </w:rPr>
        <w:t>复合肥比例为</w:t>
      </w:r>
      <w:r>
        <w:rPr>
          <w:rFonts w:hint="eastAsia" w:ascii="Times New Roman" w:hAnsi="Times New Roman"/>
          <w:kern w:val="0"/>
        </w:rPr>
        <w:t>N：P：K</w:t>
      </w:r>
      <w:r>
        <w:rPr>
          <w:rFonts w:ascii="Times New Roman" w:hAnsi="Times New Roman"/>
        </w:rPr>
        <w:t>=</w:t>
      </w:r>
      <w:r>
        <w:rPr>
          <w:rFonts w:hint="eastAsia" w:ascii="Times New Roman" w:hAnsi="Times New Roman"/>
        </w:rPr>
        <w:t>1：2：3。也可用500</w:t>
      </w:r>
      <w:r>
        <w:rPr>
          <w:rFonts w:hint="eastAsia" w:ascii="宋体" w:hAnsi="宋体" w:cs="宋体"/>
          <w:kern w:val="0"/>
        </w:rPr>
        <w:t>～</w:t>
      </w:r>
      <w:r>
        <w:rPr>
          <w:rFonts w:hint="eastAsia" w:ascii="Times New Roman" w:hAnsi="Times New Roman"/>
        </w:rPr>
        <w:t>1000倍磷酸二氢钾溶液喷施叶面，10 d</w:t>
      </w:r>
      <w:r>
        <w:rPr>
          <w:rFonts w:hint="eastAsia" w:ascii="宋体" w:hAnsi="宋体" w:cs="宋体"/>
          <w:kern w:val="0"/>
        </w:rPr>
        <w:t>～</w:t>
      </w:r>
      <w:r>
        <w:rPr>
          <w:rFonts w:hint="eastAsia" w:ascii="Times New Roman" w:hAnsi="Times New Roman"/>
        </w:rPr>
        <w:t>15 d喷洒一次。肥料使用符合</w:t>
      </w:r>
      <w:r>
        <w:rPr>
          <w:rFonts w:ascii="Times New Roman" w:hAnsi="Times New Roman"/>
        </w:rPr>
        <w:t>NY/T</w:t>
      </w:r>
      <w:r>
        <w:rPr>
          <w:rFonts w:hint="eastAsia" w:ascii="Times New Roman"/>
        </w:rPr>
        <w:t xml:space="preserve"> 496</w:t>
      </w:r>
      <w:r>
        <w:rPr>
          <w:rFonts w:hint="eastAsia" w:ascii="Times New Roman" w:hAnsi="Times New Roman"/>
          <w:sz w:val="24"/>
          <w:szCs w:val="24"/>
        </w:rPr>
        <w:t>的规定。</w:t>
      </w:r>
      <w:r>
        <w:rPr>
          <w:rFonts w:hint="eastAsia" w:ascii="Times New Roman" w:hAnsi="Times New Roman"/>
        </w:rPr>
        <w:t>花期与休眠期</w:t>
      </w:r>
      <w:r>
        <w:rPr>
          <w:rFonts w:ascii="Times New Roman" w:hAnsi="Times New Roman"/>
        </w:rPr>
        <w:t>停止施肥。</w:t>
      </w:r>
    </w:p>
    <w:p w14:paraId="6F5AE985">
      <w:pPr>
        <w:pStyle w:val="109"/>
        <w:spacing w:before="156" w:after="156"/>
      </w:pPr>
      <w:r>
        <w:rPr>
          <w:rFonts w:hint="eastAsia" w:ascii="Times New Roman"/>
          <w:szCs w:val="21"/>
        </w:rPr>
        <w:t>水分管理</w:t>
      </w:r>
    </w:p>
    <w:p w14:paraId="1F9E1F5A">
      <w:pPr>
        <w:pStyle w:val="60"/>
        <w:ind w:firstLine="420"/>
      </w:pPr>
      <w:r>
        <w:rPr>
          <w:rFonts w:hint="eastAsia" w:ascii="Times New Roman"/>
        </w:rPr>
        <w:t>春季开花期及时浇水，夏季高温期与秋季干燥期及时补充叶面水，冬季适当减少浇水次数。四季均保持土壤湿润，见干见湿，忌旱忌涝。</w:t>
      </w:r>
    </w:p>
    <w:p w14:paraId="365D2AD2">
      <w:pPr>
        <w:pStyle w:val="109"/>
        <w:spacing w:before="156" w:after="156"/>
      </w:pPr>
      <w:r>
        <w:rPr>
          <w:rFonts w:ascii="Times New Roman"/>
          <w:szCs w:val="21"/>
        </w:rPr>
        <w:t>温度管理</w:t>
      </w:r>
    </w:p>
    <w:p w14:paraId="3C3CD6B0">
      <w:pPr>
        <w:spacing w:line="240" w:lineRule="auto"/>
        <w:ind w:firstLine="420" w:firstLineChars="200"/>
        <w:rPr>
          <w:rFonts w:ascii="Times New Roman" w:hAnsi="Times New Roman"/>
          <w:kern w:val="0"/>
        </w:rPr>
      </w:pPr>
      <w:r>
        <w:rPr>
          <w:rFonts w:ascii="Times New Roman" w:hAnsi="Times New Roman"/>
          <w:kern w:val="0"/>
        </w:rPr>
        <w:t>夏季</w:t>
      </w:r>
      <w:r>
        <w:rPr>
          <w:rFonts w:hint="eastAsia" w:ascii="Times New Roman" w:hAnsi="Times New Roman"/>
          <w:kern w:val="0"/>
        </w:rPr>
        <w:t>采用遮阳率为75%</w:t>
      </w:r>
      <w:r>
        <w:rPr>
          <w:rFonts w:hint="eastAsia" w:ascii="宋体" w:hAnsi="宋体" w:cs="宋体"/>
          <w:color w:val="000000"/>
          <w:kern w:val="0"/>
        </w:rPr>
        <w:t>～</w:t>
      </w:r>
      <w:r>
        <w:rPr>
          <w:rFonts w:hint="eastAsia" w:ascii="Times New Roman" w:hAnsi="Times New Roman"/>
          <w:kern w:val="0"/>
        </w:rPr>
        <w:t>90%的遮阳网</w:t>
      </w:r>
      <w:r>
        <w:rPr>
          <w:rFonts w:ascii="Times New Roman" w:hAnsi="Times New Roman"/>
          <w:kern w:val="0"/>
        </w:rPr>
        <w:t>遮荫</w:t>
      </w:r>
      <w:r>
        <w:rPr>
          <w:rFonts w:hint="eastAsia" w:ascii="Times New Roman" w:hAnsi="Times New Roman"/>
          <w:kern w:val="0"/>
        </w:rPr>
        <w:t>降温，</w:t>
      </w:r>
      <w:r>
        <w:rPr>
          <w:rFonts w:ascii="Times New Roman" w:hAnsi="Times New Roman"/>
          <w:kern w:val="0"/>
        </w:rPr>
        <w:t>冬季</w:t>
      </w:r>
      <w:r>
        <w:rPr>
          <w:rFonts w:hint="eastAsia" w:ascii="Times New Roman" w:hAnsi="Times New Roman"/>
          <w:kern w:val="0"/>
        </w:rPr>
        <w:t>可覆</w:t>
      </w:r>
      <w:r>
        <w:rPr>
          <w:rFonts w:ascii="Times New Roman" w:hAnsi="Times New Roman"/>
          <w:kern w:val="0"/>
        </w:rPr>
        <w:t>薄</w:t>
      </w:r>
      <w:r>
        <w:rPr>
          <w:rFonts w:hint="eastAsia" w:ascii="Times New Roman" w:hAnsi="Times New Roman"/>
          <w:kern w:val="0"/>
        </w:rPr>
        <w:t>膜御</w:t>
      </w:r>
      <w:r>
        <w:rPr>
          <w:rFonts w:ascii="Times New Roman" w:hAnsi="Times New Roman"/>
          <w:kern w:val="0"/>
        </w:rPr>
        <w:t>寒。</w:t>
      </w:r>
    </w:p>
    <w:p w14:paraId="582175D1">
      <w:pPr>
        <w:pStyle w:val="109"/>
        <w:spacing w:before="156" w:after="156"/>
      </w:pPr>
      <w:r>
        <w:rPr>
          <w:rFonts w:hint="eastAsia" w:hAnsi="黑体" w:cs="黑体"/>
          <w:szCs w:val="21"/>
        </w:rPr>
        <w:t>整形</w:t>
      </w:r>
    </w:p>
    <w:p w14:paraId="51203DD9">
      <w:pPr>
        <w:pStyle w:val="69"/>
        <w:spacing w:before="156" w:after="156"/>
        <w:ind w:left="0"/>
        <w:jc w:val="left"/>
      </w:pPr>
      <w:r>
        <w:rPr>
          <w:rFonts w:hint="eastAsia"/>
        </w:rPr>
        <w:t>1～3年生植株</w:t>
      </w:r>
      <w:r>
        <w:t xml:space="preserve"> </w:t>
      </w:r>
      <w:r>
        <w:rPr>
          <w:rFonts w:hint="eastAsia"/>
        </w:rPr>
        <w:t xml:space="preserve"> </w:t>
      </w:r>
    </w:p>
    <w:p w14:paraId="41F531B5">
      <w:pPr>
        <w:autoSpaceDE w:val="0"/>
        <w:autoSpaceDN w:val="0"/>
        <w:spacing w:line="240" w:lineRule="auto"/>
        <w:ind w:firstLine="420" w:firstLineChars="200"/>
        <w:rPr>
          <w:szCs w:val="22"/>
        </w:rPr>
      </w:pPr>
      <w:r>
        <w:rPr>
          <w:rFonts w:ascii="Times New Roman" w:hAnsi="Times New Roman"/>
        </w:rPr>
        <w:t>现蕾后及时去除花蕾</w:t>
      </w:r>
      <w:r>
        <w:rPr>
          <w:rFonts w:hint="eastAsia" w:ascii="Times New Roman" w:hAnsi="Times New Roman"/>
        </w:rPr>
        <w:t>。当年生新梢半木质化时，进行第一次摘心，待侧枝与主枝长度相近时，再次摘心。通过多次摘心，促进侧枝萌发，植株成型。</w:t>
      </w:r>
    </w:p>
    <w:p w14:paraId="330472AD">
      <w:pPr>
        <w:pStyle w:val="69"/>
        <w:spacing w:before="156" w:after="156"/>
        <w:ind w:left="0"/>
      </w:pPr>
      <w:r>
        <w:rPr>
          <w:rFonts w:hint="eastAsia"/>
        </w:rPr>
        <w:t>3～4年生植株</w:t>
      </w:r>
      <w:r>
        <w:t xml:space="preserve"> </w:t>
      </w:r>
      <w:r>
        <w:rPr>
          <w:rFonts w:hint="eastAsia"/>
        </w:rPr>
        <w:t xml:space="preserve"> </w:t>
      </w:r>
    </w:p>
    <w:p w14:paraId="084748C4">
      <w:pPr>
        <w:autoSpaceDE w:val="0"/>
        <w:autoSpaceDN w:val="0"/>
        <w:spacing w:line="240" w:lineRule="auto"/>
        <w:ind w:firstLine="420" w:firstLineChars="200"/>
        <w:rPr>
          <w:rFonts w:ascii="Times New Roman" w:hAnsi="Times New Roman"/>
          <w:kern w:val="0"/>
        </w:rPr>
      </w:pPr>
      <w:r>
        <w:rPr>
          <w:rFonts w:hint="eastAsia" w:ascii="Times New Roman" w:hAnsi="Times New Roman"/>
          <w:kern w:val="0"/>
        </w:rPr>
        <w:t>待当年生新梢长到5 cm左右时，进行摘心，选留不同方向的侧枝2</w:t>
      </w:r>
      <w:r>
        <w:rPr>
          <w:rFonts w:hint="eastAsia" w:ascii="宋体" w:hAnsi="宋体" w:cs="宋体"/>
          <w:kern w:val="0"/>
        </w:rPr>
        <w:t>～</w:t>
      </w:r>
      <w:r>
        <w:rPr>
          <w:rFonts w:hint="eastAsia" w:ascii="Times New Roman" w:hAnsi="Times New Roman"/>
          <w:kern w:val="0"/>
        </w:rPr>
        <w:t>3个。次年在所留侧枝上再次摘心，并在侧枝上继续选留</w:t>
      </w:r>
      <w:r>
        <w:rPr>
          <w:rFonts w:ascii="Times New Roman" w:hAnsi="Times New Roman"/>
          <w:kern w:val="0"/>
        </w:rPr>
        <w:t>2</w:t>
      </w:r>
      <w:r>
        <w:rPr>
          <w:rFonts w:hint="eastAsia" w:ascii="宋体" w:hAnsi="宋体" w:cs="宋体"/>
          <w:kern w:val="0"/>
        </w:rPr>
        <w:t>～</w:t>
      </w:r>
      <w:r>
        <w:rPr>
          <w:rFonts w:ascii="Times New Roman" w:hAnsi="Times New Roman"/>
          <w:kern w:val="0"/>
        </w:rPr>
        <w:t>3个</w:t>
      </w:r>
      <w:r>
        <w:rPr>
          <w:rFonts w:hint="eastAsia" w:ascii="Times New Roman" w:hAnsi="Times New Roman"/>
          <w:kern w:val="0"/>
        </w:rPr>
        <w:t>分</w:t>
      </w:r>
      <w:r>
        <w:rPr>
          <w:rFonts w:ascii="Times New Roman" w:hAnsi="Times New Roman"/>
          <w:kern w:val="0"/>
        </w:rPr>
        <w:t>枝</w:t>
      </w:r>
      <w:r>
        <w:rPr>
          <w:rFonts w:hint="eastAsia" w:ascii="Times New Roman" w:hAnsi="Times New Roman"/>
          <w:kern w:val="0"/>
        </w:rPr>
        <w:t>，</w:t>
      </w:r>
      <w:r>
        <w:rPr>
          <w:rFonts w:ascii="Times New Roman" w:hAnsi="Times New Roman"/>
          <w:kern w:val="0"/>
        </w:rPr>
        <w:t>培养</w:t>
      </w:r>
      <w:r>
        <w:rPr>
          <w:rFonts w:hint="eastAsia" w:ascii="Times New Roman" w:hAnsi="Times New Roman"/>
          <w:kern w:val="0"/>
        </w:rPr>
        <w:t>多级骨架</w:t>
      </w:r>
      <w:r>
        <w:rPr>
          <w:rFonts w:ascii="Times New Roman" w:hAnsi="Times New Roman"/>
          <w:kern w:val="0"/>
        </w:rPr>
        <w:t>。</w:t>
      </w:r>
    </w:p>
    <w:bookmarkEnd w:id="22"/>
    <w:p w14:paraId="7BDC50CC">
      <w:pPr>
        <w:pStyle w:val="109"/>
        <w:spacing w:before="156" w:after="156"/>
      </w:pPr>
      <w:bookmarkStart w:id="44" w:name="BookMark8"/>
      <w:r>
        <w:rPr>
          <w:rFonts w:hint="eastAsia" w:ascii="Times New Roman"/>
          <w:szCs w:val="21"/>
        </w:rPr>
        <w:t>修剪</w:t>
      </w:r>
    </w:p>
    <w:p w14:paraId="46CAB529">
      <w:pPr>
        <w:pStyle w:val="69"/>
        <w:spacing w:before="156" w:after="156"/>
        <w:ind w:left="0"/>
      </w:pPr>
      <w:r>
        <w:rPr>
          <w:rFonts w:hint="eastAsia"/>
        </w:rPr>
        <w:t>常规修剪</w:t>
      </w:r>
      <w:r>
        <w:t xml:space="preserve"> </w:t>
      </w:r>
      <w:r>
        <w:rPr>
          <w:rFonts w:hint="eastAsia"/>
        </w:rPr>
        <w:t xml:space="preserve"> </w:t>
      </w:r>
    </w:p>
    <w:p w14:paraId="2FD1C61D">
      <w:pPr>
        <w:autoSpaceDE w:val="0"/>
        <w:autoSpaceDN w:val="0"/>
        <w:spacing w:line="240" w:lineRule="auto"/>
        <w:ind w:firstLine="420" w:firstLineChars="200"/>
        <w:rPr>
          <w:rFonts w:ascii="Times New Roman" w:eastAsia="黑体"/>
        </w:rPr>
      </w:pPr>
      <w:r>
        <w:rPr>
          <w:rFonts w:hint="eastAsia" w:ascii="Times New Roman" w:hAnsi="Times New Roman"/>
          <w:color w:val="000000"/>
        </w:rPr>
        <w:t>幼年植株或尚未达到采切标准的植株可结合整形措施，在花后及冬季休眠期进行常规修剪。重点</w:t>
      </w:r>
      <w:r>
        <w:rPr>
          <w:rFonts w:hint="eastAsia" w:ascii="Times New Roman" w:hAnsi="Times New Roman"/>
          <w:color w:val="000000"/>
          <w:kern w:val="0"/>
        </w:rPr>
        <w:t>修剪</w:t>
      </w:r>
      <w:r>
        <w:rPr>
          <w:rFonts w:hint="eastAsia" w:ascii="Times New Roman" w:hAnsi="Times New Roman"/>
          <w:kern w:val="0"/>
        </w:rPr>
        <w:t>重叠枝、过密枝、交叉枝、</w:t>
      </w:r>
      <w:r>
        <w:rPr>
          <w:rFonts w:ascii="Times New Roman" w:hAnsi="Times New Roman"/>
        </w:rPr>
        <w:t>病枝</w:t>
      </w:r>
      <w:r>
        <w:rPr>
          <w:rFonts w:hint="eastAsia" w:ascii="Times New Roman" w:hAnsi="Times New Roman"/>
        </w:rPr>
        <w:t>、弱枝、徒长枝等</w:t>
      </w:r>
      <w:r>
        <w:rPr>
          <w:rFonts w:hint="eastAsia" w:ascii="Times New Roman" w:hAnsi="Times New Roman"/>
          <w:color w:val="000000"/>
          <w:kern w:val="0"/>
        </w:rPr>
        <w:t>，抹去茎干和枝条上的萌蘖芽与不定芽。</w:t>
      </w:r>
    </w:p>
    <w:p w14:paraId="55BC1F09">
      <w:pPr>
        <w:pStyle w:val="69"/>
        <w:spacing w:before="156" w:after="156"/>
        <w:ind w:left="0"/>
      </w:pPr>
      <w:r>
        <w:rPr>
          <w:rFonts w:hint="eastAsia"/>
        </w:rPr>
        <w:t>采前修剪</w:t>
      </w:r>
      <w:r>
        <w:t xml:space="preserve"> </w:t>
      </w:r>
      <w:r>
        <w:rPr>
          <w:rFonts w:hint="eastAsia"/>
        </w:rPr>
        <w:t xml:space="preserve"> </w:t>
      </w:r>
    </w:p>
    <w:p w14:paraId="3751BA96">
      <w:pPr>
        <w:autoSpaceDE w:val="0"/>
        <w:autoSpaceDN w:val="0"/>
        <w:spacing w:line="240" w:lineRule="auto"/>
        <w:ind w:firstLine="420" w:firstLineChars="200"/>
      </w:pPr>
      <w:r>
        <w:rPr>
          <w:rFonts w:hint="eastAsia" w:ascii="Times New Roman" w:hAnsi="Times New Roman"/>
          <w:color w:val="000000"/>
          <w:kern w:val="0"/>
        </w:rPr>
        <w:t>切花采切前，</w:t>
      </w:r>
      <w:r>
        <w:rPr>
          <w:rFonts w:ascii="Times New Roman" w:hAnsi="Times New Roman"/>
          <w:color w:val="000000"/>
          <w:kern w:val="0"/>
        </w:rPr>
        <w:t>根据花蕾发育大小和整齐度，确定拟采收的花蕾，及时摘除侧蕾，并除去发育滞后、形态不正常的花蕾</w:t>
      </w:r>
      <w:r>
        <w:rPr>
          <w:rFonts w:hint="eastAsia" w:ascii="Times New Roman" w:hAnsi="Times New Roman"/>
          <w:color w:val="000000"/>
          <w:kern w:val="0"/>
        </w:rPr>
        <w:t>。</w:t>
      </w:r>
    </w:p>
    <w:p w14:paraId="47EFEE4C">
      <w:pPr>
        <w:pStyle w:val="69"/>
        <w:spacing w:before="156" w:after="156"/>
        <w:ind w:left="0"/>
      </w:pPr>
      <w:r>
        <w:rPr>
          <w:rFonts w:hint="eastAsia"/>
        </w:rPr>
        <w:t>采后修剪</w:t>
      </w:r>
      <w:r>
        <w:t xml:space="preserve"> </w:t>
      </w:r>
      <w:r>
        <w:rPr>
          <w:rFonts w:hint="eastAsia"/>
        </w:rPr>
        <w:t xml:space="preserve"> </w:t>
      </w:r>
    </w:p>
    <w:p w14:paraId="310A5022">
      <w:pPr>
        <w:pStyle w:val="60"/>
        <w:ind w:firstLine="420"/>
      </w:pPr>
      <w:r>
        <w:rPr>
          <w:rFonts w:hint="eastAsia" w:ascii="Times New Roman"/>
          <w:szCs w:val="21"/>
        </w:rPr>
        <w:t>切花采收后参考常规修剪方法修剪，</w:t>
      </w:r>
      <w:r>
        <w:rPr>
          <w:rFonts w:ascii="Times New Roman"/>
          <w:szCs w:val="21"/>
        </w:rPr>
        <w:t>待主干发出新枝（侧枝）</w:t>
      </w:r>
      <w:r>
        <w:rPr>
          <w:rFonts w:hint="eastAsia" w:ascii="Times New Roman"/>
          <w:szCs w:val="21"/>
        </w:rPr>
        <w:t>后，结合摘心，促进</w:t>
      </w:r>
      <w:r>
        <w:rPr>
          <w:rFonts w:ascii="Times New Roman"/>
          <w:szCs w:val="21"/>
        </w:rPr>
        <w:t>骨架形成</w:t>
      </w:r>
      <w:r>
        <w:rPr>
          <w:rFonts w:hint="eastAsia" w:ascii="Times New Roman"/>
          <w:szCs w:val="21"/>
        </w:rPr>
        <w:t>。</w:t>
      </w:r>
    </w:p>
    <w:p w14:paraId="783DC4AE">
      <w:pPr>
        <w:pStyle w:val="108"/>
        <w:spacing w:before="312" w:after="312"/>
        <w:rPr>
          <w:rFonts w:ascii="Times New Roman"/>
          <w:szCs w:val="21"/>
        </w:rPr>
      </w:pPr>
      <w:r>
        <w:rPr>
          <w:rFonts w:hint="eastAsia" w:ascii="Times New Roman"/>
          <w:szCs w:val="21"/>
        </w:rPr>
        <w:t>病虫草害防控</w:t>
      </w:r>
    </w:p>
    <w:p w14:paraId="105E6CA8">
      <w:pPr>
        <w:pStyle w:val="109"/>
        <w:spacing w:before="156" w:after="156"/>
      </w:pPr>
      <w:r>
        <w:rPr>
          <w:rFonts w:hint="eastAsia" w:ascii="Times New Roman"/>
          <w:szCs w:val="21"/>
        </w:rPr>
        <w:t>病虫害</w:t>
      </w:r>
    </w:p>
    <w:p w14:paraId="646B2905">
      <w:pPr>
        <w:spacing w:line="240" w:lineRule="auto"/>
        <w:ind w:firstLine="420" w:firstLineChars="200"/>
        <w:rPr>
          <w:rFonts w:ascii="Times New Roman" w:hAnsi="Times New Roman"/>
          <w:kern w:val="0"/>
        </w:rPr>
      </w:pPr>
      <w:r>
        <w:rPr>
          <w:rFonts w:hint="eastAsia" w:ascii="黑体" w:cs="黑体"/>
        </w:rPr>
        <w:t>杜鹃花常见病害有白粉病、根腐病、褐斑病、叶肿病等，常见虫害有蚜虫、蓟马、杜鹃冠网蝽与红蜘蛛等。主要症状及防治方法</w:t>
      </w:r>
      <w:r>
        <w:rPr>
          <w:rFonts w:hint="eastAsia" w:ascii="Times New Roman" w:hAnsi="Times New Roman"/>
          <w:kern w:val="0"/>
        </w:rPr>
        <w:t>见</w:t>
      </w:r>
      <w:r>
        <w:rPr>
          <w:rFonts w:ascii="Times New Roman" w:hAnsi="Times New Roman"/>
        </w:rPr>
        <w:t>附录</w:t>
      </w:r>
      <w:r>
        <w:rPr>
          <w:rFonts w:hint="eastAsia" w:ascii="Times New Roman" w:hAnsi="Times New Roman"/>
        </w:rPr>
        <w:t>B，</w:t>
      </w:r>
      <w:r>
        <w:rPr>
          <w:rFonts w:hint="eastAsia" w:ascii="黑体" w:cs="黑体"/>
        </w:rPr>
        <w:t>遵循“预防为主，综合防治”的植保方针</w:t>
      </w:r>
      <w:r>
        <w:rPr>
          <w:rFonts w:hint="eastAsia" w:ascii="Times New Roman" w:hAnsi="Times New Roman"/>
        </w:rPr>
        <w:t>。农药的</w:t>
      </w:r>
      <w:r>
        <w:rPr>
          <w:rFonts w:ascii="Times New Roman" w:hAnsi="Times New Roman"/>
        </w:rPr>
        <w:t>使用</w:t>
      </w:r>
      <w:r>
        <w:rPr>
          <w:rFonts w:hint="eastAsia" w:ascii="Times New Roman" w:hAnsi="Times New Roman"/>
        </w:rPr>
        <w:t>应符合</w:t>
      </w:r>
      <w:r>
        <w:rPr>
          <w:rFonts w:ascii="Times New Roman" w:hAnsi="Times New Roman"/>
        </w:rPr>
        <w:t xml:space="preserve">NY/T </w:t>
      </w:r>
      <w:r>
        <w:rPr>
          <w:rFonts w:hint="eastAsia" w:ascii="Times New Roman"/>
        </w:rPr>
        <w:t>1276</w:t>
      </w:r>
      <w:r>
        <w:rPr>
          <w:rFonts w:hint="eastAsia" w:ascii="Times New Roman" w:hAnsi="Times New Roman"/>
          <w:kern w:val="0"/>
        </w:rPr>
        <w:t>的</w:t>
      </w:r>
      <w:r>
        <w:rPr>
          <w:rFonts w:ascii="Times New Roman" w:hAnsi="Times New Roman"/>
        </w:rPr>
        <w:t>规</w:t>
      </w:r>
      <w:r>
        <w:rPr>
          <w:rFonts w:hint="eastAsia" w:ascii="黑体" w:cs="黑体"/>
        </w:rPr>
        <w:t>定</w:t>
      </w:r>
      <w:r>
        <w:rPr>
          <w:rFonts w:ascii="Times New Roman" w:hAnsi="Times New Roman"/>
        </w:rPr>
        <w:t>。</w:t>
      </w:r>
    </w:p>
    <w:p w14:paraId="7808D054">
      <w:pPr>
        <w:pStyle w:val="109"/>
        <w:spacing w:before="156" w:after="156"/>
      </w:pPr>
      <w:r>
        <w:rPr>
          <w:rFonts w:hint="eastAsia" w:ascii="Times New Roman"/>
          <w:szCs w:val="21"/>
        </w:rPr>
        <w:t>草害</w:t>
      </w:r>
    </w:p>
    <w:p w14:paraId="68CE980B">
      <w:pPr>
        <w:spacing w:line="240" w:lineRule="auto"/>
        <w:ind w:firstLine="420" w:firstLineChars="200"/>
        <w:rPr>
          <w:rFonts w:ascii="Times New Roman" w:hAnsi="Times New Roman"/>
          <w:kern w:val="0"/>
        </w:rPr>
      </w:pPr>
      <w:r>
        <w:rPr>
          <w:rFonts w:hint="eastAsia" w:ascii="Times New Roman" w:hAnsi="Times New Roman"/>
          <w:kern w:val="0"/>
        </w:rPr>
        <w:t>生长季节及时进行中耕除草。草害严重时，可施用除草剂。除草剂的使用应符合</w:t>
      </w:r>
      <w:r>
        <w:rPr>
          <w:rFonts w:ascii="Times New Roman" w:hAnsi="Times New Roman"/>
        </w:rPr>
        <w:t xml:space="preserve">NY/T </w:t>
      </w:r>
      <w:r>
        <w:rPr>
          <w:rFonts w:hint="eastAsia" w:ascii="Times New Roman"/>
        </w:rPr>
        <w:t>1276</w:t>
      </w:r>
      <w:r>
        <w:rPr>
          <w:rFonts w:hint="eastAsia" w:ascii="Times New Roman" w:hAnsi="Times New Roman"/>
          <w:kern w:val="0"/>
        </w:rPr>
        <w:t>的</w:t>
      </w:r>
      <w:r>
        <w:rPr>
          <w:rFonts w:ascii="Times New Roman" w:hAnsi="Times New Roman"/>
        </w:rPr>
        <w:t>规</w:t>
      </w:r>
      <w:r>
        <w:rPr>
          <w:rFonts w:hint="eastAsia" w:ascii="黑体" w:cs="黑体"/>
        </w:rPr>
        <w:t>定。</w:t>
      </w:r>
    </w:p>
    <w:p w14:paraId="76F600D1">
      <w:pPr>
        <w:pStyle w:val="108"/>
        <w:spacing w:before="312" w:after="312"/>
        <w:rPr>
          <w:rFonts w:ascii="Times New Roman"/>
          <w:szCs w:val="21"/>
        </w:rPr>
      </w:pPr>
      <w:r>
        <w:rPr>
          <w:rFonts w:hint="eastAsia" w:ascii="Times New Roman"/>
          <w:szCs w:val="21"/>
        </w:rPr>
        <w:t>采切与分级</w:t>
      </w:r>
    </w:p>
    <w:p w14:paraId="2E2104DC">
      <w:pPr>
        <w:pStyle w:val="109"/>
        <w:spacing w:before="156" w:after="156"/>
        <w:rPr>
          <w:rFonts w:ascii="Times New Roman"/>
          <w:szCs w:val="21"/>
        </w:rPr>
      </w:pPr>
      <w:r>
        <w:rPr>
          <w:rFonts w:hint="eastAsia" w:ascii="Times New Roman"/>
          <w:szCs w:val="21"/>
        </w:rPr>
        <w:t>采切时间</w:t>
      </w:r>
    </w:p>
    <w:p w14:paraId="34F192E8">
      <w:pPr>
        <w:autoSpaceDE w:val="0"/>
        <w:autoSpaceDN w:val="0"/>
        <w:spacing w:line="240" w:lineRule="auto"/>
        <w:ind w:firstLine="420" w:firstLineChars="200"/>
      </w:pPr>
      <w:r>
        <w:rPr>
          <w:rFonts w:hint="eastAsia" w:ascii="Times New Roman" w:hAnsi="Times New Roman"/>
          <w:kern w:val="0"/>
        </w:rPr>
        <w:t>花蕾露色，外壳发白时可</w:t>
      </w:r>
      <w:r>
        <w:rPr>
          <w:rFonts w:ascii="Times New Roman" w:hAnsi="Times New Roman"/>
          <w:kern w:val="0"/>
        </w:rPr>
        <w:t>进行采切</w:t>
      </w:r>
      <w:r>
        <w:rPr>
          <w:rFonts w:hint="eastAsia" w:ascii="Times New Roman" w:hAnsi="Times New Roman"/>
          <w:kern w:val="0"/>
        </w:rPr>
        <w:t>，</w:t>
      </w:r>
      <w:r>
        <w:rPr>
          <w:rFonts w:hint="eastAsia" w:ascii="Times New Roman" w:hAnsi="Times New Roman"/>
        </w:rPr>
        <w:t>一天</w:t>
      </w:r>
      <w:r>
        <w:rPr>
          <w:rFonts w:ascii="Times New Roman" w:hAnsi="Times New Roman"/>
          <w:kern w:val="0"/>
        </w:rPr>
        <w:t>以清晨或傍晚</w:t>
      </w:r>
      <w:r>
        <w:rPr>
          <w:rFonts w:hint="eastAsia" w:ascii="Times New Roman" w:hAnsi="Times New Roman"/>
          <w:kern w:val="0"/>
        </w:rPr>
        <w:t>时</w:t>
      </w:r>
      <w:r>
        <w:rPr>
          <w:rFonts w:ascii="Times New Roman" w:hAnsi="Times New Roman"/>
          <w:kern w:val="0"/>
        </w:rPr>
        <w:t>为宜</w:t>
      </w:r>
      <w:r>
        <w:rPr>
          <w:rFonts w:hint="eastAsia" w:ascii="Times New Roman" w:hAnsi="Times New Roman"/>
          <w:kern w:val="0"/>
        </w:rPr>
        <w:t>。</w:t>
      </w:r>
    </w:p>
    <w:p w14:paraId="507FCEB4">
      <w:pPr>
        <w:pStyle w:val="109"/>
        <w:spacing w:before="156" w:after="156"/>
        <w:rPr>
          <w:rFonts w:ascii="Times New Roman"/>
          <w:szCs w:val="21"/>
        </w:rPr>
      </w:pPr>
      <w:r>
        <w:rPr>
          <w:rFonts w:hint="eastAsia" w:ascii="Times New Roman"/>
          <w:szCs w:val="21"/>
        </w:rPr>
        <w:t>采切方法</w:t>
      </w:r>
    </w:p>
    <w:p w14:paraId="3B146C05">
      <w:pPr>
        <w:autoSpaceDE w:val="0"/>
        <w:autoSpaceDN w:val="0"/>
        <w:spacing w:line="240" w:lineRule="auto"/>
        <w:ind w:firstLine="420" w:firstLineChars="200"/>
        <w:rPr>
          <w:rFonts w:ascii="Times New Roman" w:hAnsi="Times New Roman"/>
          <w:kern w:val="0"/>
        </w:rPr>
      </w:pPr>
      <w:r>
        <w:rPr>
          <w:rFonts w:hint="eastAsia"/>
        </w:rPr>
        <w:t>对</w:t>
      </w:r>
      <w:r>
        <w:rPr>
          <w:rFonts w:hint="eastAsia" w:ascii="Times New Roman" w:hAnsi="Times New Roman"/>
        </w:rPr>
        <w:t>5</w:t>
      </w:r>
      <w:r>
        <w:rPr>
          <w:rFonts w:hint="eastAsia" w:ascii="宋体" w:hAnsi="宋体" w:cs="宋体"/>
          <w:kern w:val="0"/>
        </w:rPr>
        <w:t>至</w:t>
      </w:r>
      <w:r>
        <w:rPr>
          <w:rFonts w:hint="eastAsia" w:ascii="Times New Roman" w:hAnsi="Times New Roman"/>
        </w:rPr>
        <w:t>6</w:t>
      </w:r>
      <w:r>
        <w:rPr>
          <w:rFonts w:ascii="Times New Roman" w:hAnsi="Times New Roman"/>
        </w:rPr>
        <w:t>年生</w:t>
      </w:r>
      <w:r>
        <w:rPr>
          <w:rFonts w:hint="eastAsia" w:ascii="Times New Roman" w:hAnsi="Times New Roman"/>
        </w:rPr>
        <w:t>及以上的植株进行采切。一年生枝条长度达15 cm及以上时，待枝条顶端形成花芽后，可作为单枝切枝或多枝切枝采收。</w:t>
      </w:r>
      <w:r>
        <w:rPr>
          <w:rFonts w:ascii="Times New Roman" w:hAnsi="Times New Roman"/>
          <w:kern w:val="0"/>
        </w:rPr>
        <w:t>第一次采</w:t>
      </w:r>
      <w:r>
        <w:rPr>
          <w:rFonts w:hint="eastAsia" w:ascii="Times New Roman" w:hAnsi="Times New Roman"/>
          <w:kern w:val="0"/>
        </w:rPr>
        <w:t>切</w:t>
      </w:r>
      <w:r>
        <w:rPr>
          <w:rFonts w:ascii="Times New Roman" w:hAnsi="Times New Roman"/>
          <w:kern w:val="0"/>
        </w:rPr>
        <w:t>时，剪口在芽上方1 cm处，以后依据切枝粗</w:t>
      </w:r>
      <w:r>
        <w:rPr>
          <w:rFonts w:hint="eastAsia" w:ascii="Times New Roman" w:hAnsi="Times New Roman"/>
          <w:kern w:val="0"/>
        </w:rPr>
        <w:t>细</w:t>
      </w:r>
      <w:r>
        <w:rPr>
          <w:rFonts w:ascii="Times New Roman" w:hAnsi="Times New Roman"/>
          <w:kern w:val="0"/>
        </w:rPr>
        <w:t>和萌发部位确定采切位置</w:t>
      </w:r>
      <w:r>
        <w:rPr>
          <w:rFonts w:hint="eastAsia" w:ascii="Times New Roman" w:hAnsi="Times New Roman"/>
          <w:kern w:val="0"/>
        </w:rPr>
        <w:t>。</w:t>
      </w:r>
      <w:r>
        <w:rPr>
          <w:rFonts w:ascii="Times New Roman" w:hAnsi="Times New Roman"/>
          <w:kern w:val="0"/>
        </w:rPr>
        <w:t>粗壮枝条保留切枝基部3</w:t>
      </w:r>
      <w:r>
        <w:rPr>
          <w:rFonts w:hint="eastAsia" w:ascii="Times New Roman" w:hAnsi="Times New Roman"/>
          <w:kern w:val="0"/>
        </w:rPr>
        <w:t>个</w:t>
      </w:r>
      <w:r>
        <w:rPr>
          <w:rFonts w:hint="eastAsia" w:ascii="宋体" w:hAnsi="宋体" w:cs="宋体"/>
          <w:color w:val="000000"/>
          <w:kern w:val="0"/>
        </w:rPr>
        <w:t>～</w:t>
      </w:r>
      <w:r>
        <w:rPr>
          <w:rFonts w:ascii="Times New Roman" w:hAnsi="Times New Roman"/>
          <w:kern w:val="0"/>
        </w:rPr>
        <w:t>4个芽口</w:t>
      </w:r>
      <w:r>
        <w:rPr>
          <w:rFonts w:hint="eastAsia" w:ascii="Times New Roman" w:hAnsi="Times New Roman"/>
          <w:kern w:val="0"/>
        </w:rPr>
        <w:t>，</w:t>
      </w:r>
      <w:r>
        <w:rPr>
          <w:rFonts w:ascii="Times New Roman" w:hAnsi="Times New Roman"/>
          <w:kern w:val="0"/>
        </w:rPr>
        <w:t>其他枝条保留1</w:t>
      </w:r>
      <w:r>
        <w:rPr>
          <w:rFonts w:hint="eastAsia" w:ascii="Times New Roman" w:hAnsi="Times New Roman"/>
          <w:kern w:val="0"/>
        </w:rPr>
        <w:t>个</w:t>
      </w:r>
      <w:r>
        <w:rPr>
          <w:rFonts w:hint="eastAsia" w:ascii="宋体" w:hAnsi="宋体" w:cs="宋体"/>
          <w:color w:val="000000"/>
          <w:kern w:val="0"/>
        </w:rPr>
        <w:t>～</w:t>
      </w:r>
      <w:r>
        <w:rPr>
          <w:rFonts w:ascii="Times New Roman" w:hAnsi="Times New Roman"/>
          <w:kern w:val="0"/>
        </w:rPr>
        <w:t>2个芽口</w:t>
      </w:r>
      <w:r>
        <w:rPr>
          <w:rFonts w:hint="eastAsia" w:ascii="Times New Roman" w:hAnsi="Times New Roman"/>
          <w:kern w:val="0"/>
        </w:rPr>
        <w:t>，</w:t>
      </w:r>
      <w:r>
        <w:rPr>
          <w:rFonts w:ascii="Times New Roman" w:hAnsi="Times New Roman"/>
          <w:kern w:val="0"/>
        </w:rPr>
        <w:t>保证母株的持续生产和次年生长。</w:t>
      </w:r>
    </w:p>
    <w:p w14:paraId="7EA4F2F9">
      <w:pPr>
        <w:pStyle w:val="109"/>
        <w:spacing w:before="156" w:after="156"/>
        <w:rPr>
          <w:rFonts w:ascii="Times New Roman"/>
          <w:szCs w:val="21"/>
        </w:rPr>
      </w:pPr>
      <w:r>
        <w:rPr>
          <w:rFonts w:hint="eastAsia" w:ascii="Times New Roman"/>
          <w:szCs w:val="21"/>
        </w:rPr>
        <w:t>切枝处理</w:t>
      </w:r>
    </w:p>
    <w:p w14:paraId="412409E3">
      <w:pPr>
        <w:spacing w:line="240" w:lineRule="auto"/>
        <w:ind w:firstLine="420" w:firstLineChars="200"/>
        <w:rPr>
          <w:rFonts w:ascii="Times New Roman" w:eastAsia="黑体"/>
        </w:rPr>
      </w:pPr>
      <w:r>
        <w:rPr>
          <w:rFonts w:hint="eastAsia" w:ascii="Times New Roman" w:hAnsi="Times New Roman"/>
          <w:kern w:val="0"/>
        </w:rPr>
        <w:t>去除枝条基部叶片和枝条中的病虫危害叶、黄叶，无花苞的侧枝、细弱枝等。</w:t>
      </w:r>
      <w:r>
        <w:rPr>
          <w:rFonts w:ascii="Times New Roman" w:hAnsi="Times New Roman"/>
          <w:kern w:val="0"/>
        </w:rPr>
        <w:t>采切后</w:t>
      </w:r>
      <w:r>
        <w:rPr>
          <w:rFonts w:hint="eastAsia" w:ascii="Times New Roman" w:hAnsi="Times New Roman"/>
          <w:kern w:val="0"/>
        </w:rPr>
        <w:t>的</w:t>
      </w:r>
      <w:r>
        <w:rPr>
          <w:rFonts w:ascii="Times New Roman" w:hAnsi="Times New Roman"/>
          <w:kern w:val="0"/>
        </w:rPr>
        <w:t>枝条切口应立即放入盛有清水的容器中，容器高度应与切花切枝相同或高于切枝5</w:t>
      </w:r>
      <w:r>
        <w:rPr>
          <w:rFonts w:hint="eastAsia" w:ascii="Times New Roman" w:hAnsi="Times New Roman"/>
          <w:kern w:val="0"/>
        </w:rPr>
        <w:t xml:space="preserve"> </w:t>
      </w:r>
      <w:r>
        <w:rPr>
          <w:rFonts w:ascii="Times New Roman" w:hAnsi="Times New Roman"/>
          <w:kern w:val="0"/>
        </w:rPr>
        <w:t>cm</w:t>
      </w:r>
      <w:r>
        <w:rPr>
          <w:rFonts w:hint="eastAsia" w:ascii="宋体" w:hAnsi="宋体" w:cs="宋体"/>
          <w:color w:val="000000"/>
          <w:kern w:val="0"/>
        </w:rPr>
        <w:t>～</w:t>
      </w:r>
      <w:r>
        <w:rPr>
          <w:rFonts w:ascii="Times New Roman" w:hAnsi="Times New Roman"/>
          <w:kern w:val="0"/>
        </w:rPr>
        <w:t>10</w:t>
      </w:r>
      <w:r>
        <w:rPr>
          <w:rFonts w:hint="eastAsia" w:ascii="Times New Roman" w:hAnsi="Times New Roman"/>
          <w:kern w:val="0"/>
        </w:rPr>
        <w:t xml:space="preserve"> </w:t>
      </w:r>
      <w:r>
        <w:rPr>
          <w:rFonts w:ascii="Times New Roman" w:hAnsi="Times New Roman"/>
          <w:kern w:val="0"/>
        </w:rPr>
        <w:t>cm，</w:t>
      </w:r>
      <w:r>
        <w:rPr>
          <w:rFonts w:hint="eastAsia" w:ascii="Times New Roman" w:hAnsi="Times New Roman"/>
          <w:kern w:val="0"/>
        </w:rPr>
        <w:t>清水</w:t>
      </w:r>
      <w:r>
        <w:rPr>
          <w:rFonts w:ascii="Times New Roman" w:hAnsi="Times New Roman"/>
          <w:kern w:val="0"/>
        </w:rPr>
        <w:t>高度</w:t>
      </w:r>
      <w:r>
        <w:rPr>
          <w:rFonts w:hint="eastAsia" w:ascii="Times New Roman" w:hAnsi="Times New Roman"/>
          <w:kern w:val="0"/>
        </w:rPr>
        <w:t>为</w:t>
      </w:r>
      <w:r>
        <w:rPr>
          <w:rFonts w:ascii="Times New Roman" w:hAnsi="Times New Roman"/>
          <w:kern w:val="0"/>
        </w:rPr>
        <w:t>5</w:t>
      </w:r>
      <w:r>
        <w:rPr>
          <w:rFonts w:hint="eastAsia" w:ascii="Times New Roman" w:hAnsi="Times New Roman"/>
          <w:kern w:val="0"/>
        </w:rPr>
        <w:t xml:space="preserve"> </w:t>
      </w:r>
      <w:r>
        <w:rPr>
          <w:rFonts w:ascii="Times New Roman" w:hAnsi="Times New Roman"/>
          <w:kern w:val="0"/>
        </w:rPr>
        <w:t>cm</w:t>
      </w:r>
      <w:r>
        <w:rPr>
          <w:rFonts w:hint="eastAsia" w:ascii="宋体" w:hAnsi="宋体" w:cs="宋体"/>
          <w:color w:val="000000"/>
          <w:kern w:val="0"/>
        </w:rPr>
        <w:t>～</w:t>
      </w:r>
      <w:r>
        <w:rPr>
          <w:rFonts w:ascii="Times New Roman" w:hAnsi="Times New Roman"/>
          <w:kern w:val="0"/>
        </w:rPr>
        <w:t>10</w:t>
      </w:r>
      <w:r>
        <w:rPr>
          <w:rFonts w:hint="eastAsia" w:ascii="Times New Roman" w:hAnsi="Times New Roman"/>
          <w:kern w:val="0"/>
        </w:rPr>
        <w:t xml:space="preserve"> </w:t>
      </w:r>
      <w:r>
        <w:rPr>
          <w:rFonts w:ascii="Times New Roman" w:hAnsi="Times New Roman"/>
          <w:kern w:val="0"/>
        </w:rPr>
        <w:t>cm。</w:t>
      </w:r>
    </w:p>
    <w:p w14:paraId="33E80746">
      <w:pPr>
        <w:pStyle w:val="109"/>
        <w:spacing w:before="156" w:after="156"/>
        <w:rPr>
          <w:rFonts w:ascii="Times New Roman"/>
          <w:szCs w:val="21"/>
        </w:rPr>
      </w:pPr>
      <w:bookmarkStart w:id="45" w:name="_Hlk165142578"/>
      <w:r>
        <w:rPr>
          <w:rFonts w:hint="eastAsia" w:ascii="Times New Roman"/>
          <w:szCs w:val="21"/>
        </w:rPr>
        <w:t>切枝分级</w:t>
      </w:r>
      <w:bookmarkEnd w:id="45"/>
    </w:p>
    <w:p w14:paraId="080BA81A">
      <w:pPr>
        <w:autoSpaceDE w:val="0"/>
        <w:autoSpaceDN w:val="0"/>
        <w:spacing w:line="240" w:lineRule="auto"/>
        <w:ind w:firstLine="420" w:firstLineChars="200"/>
        <w:rPr>
          <w:rFonts w:ascii="Times New Roman" w:hAnsi="Times New Roman"/>
          <w:kern w:val="0"/>
        </w:rPr>
      </w:pPr>
      <w:r>
        <w:rPr>
          <w:rFonts w:hint="eastAsia" w:ascii="Times New Roman" w:hAnsi="Times New Roman"/>
          <w:kern w:val="0"/>
        </w:rPr>
        <w:t>切枝</w:t>
      </w:r>
      <w:r>
        <w:rPr>
          <w:rFonts w:ascii="Times New Roman" w:hAnsi="Times New Roman"/>
          <w:kern w:val="0"/>
        </w:rPr>
        <w:t>采收后30</w:t>
      </w:r>
      <w:r>
        <w:rPr>
          <w:rFonts w:hint="eastAsia" w:ascii="Times New Roman" w:hAnsi="Times New Roman"/>
          <w:kern w:val="0"/>
        </w:rPr>
        <w:t xml:space="preserve"> </w:t>
      </w:r>
      <w:r>
        <w:rPr>
          <w:rFonts w:ascii="Times New Roman" w:hAnsi="Times New Roman"/>
          <w:kern w:val="0"/>
        </w:rPr>
        <w:t>min</w:t>
      </w:r>
      <w:r>
        <w:rPr>
          <w:rFonts w:hint="eastAsia" w:ascii="宋体" w:hAnsi="宋体" w:cs="宋体"/>
          <w:color w:val="000000"/>
          <w:kern w:val="0"/>
        </w:rPr>
        <w:t>～</w:t>
      </w:r>
      <w:r>
        <w:rPr>
          <w:rFonts w:ascii="Times New Roman" w:hAnsi="Times New Roman"/>
          <w:kern w:val="0"/>
        </w:rPr>
        <w:t>60</w:t>
      </w:r>
      <w:r>
        <w:rPr>
          <w:rFonts w:hint="eastAsia" w:ascii="Times New Roman" w:hAnsi="Times New Roman"/>
          <w:kern w:val="0"/>
        </w:rPr>
        <w:t xml:space="preserve"> </w:t>
      </w:r>
      <w:r>
        <w:rPr>
          <w:rFonts w:ascii="Times New Roman" w:hAnsi="Times New Roman"/>
          <w:kern w:val="0"/>
        </w:rPr>
        <w:t>min内尽快运至预处理车间</w:t>
      </w:r>
      <w:r>
        <w:rPr>
          <w:rFonts w:hint="eastAsia" w:ascii="Times New Roman" w:hAnsi="Times New Roman"/>
          <w:kern w:val="0"/>
        </w:rPr>
        <w:t>，剔除花茎弯曲、严重受损的切枝，对切枝进行分级。切枝产品质量等级应符合</w:t>
      </w:r>
      <w:r>
        <w:rPr>
          <w:rFonts w:ascii="Times New Roman" w:hAnsi="Times New Roman"/>
        </w:rPr>
        <w:t>GB/T 18247.1</w:t>
      </w:r>
      <w:r>
        <w:rPr>
          <w:rFonts w:hint="eastAsia" w:ascii="Times New Roman" w:hAnsi="Times New Roman"/>
        </w:rPr>
        <w:t>要求</w:t>
      </w:r>
      <w:r>
        <w:rPr>
          <w:rFonts w:hint="eastAsia" w:ascii="Times New Roman" w:hAnsi="Times New Roman"/>
          <w:kern w:val="0"/>
        </w:rPr>
        <w:t>。</w:t>
      </w:r>
      <w:r>
        <w:rPr>
          <w:rFonts w:ascii="Times New Roman" w:hAnsi="Times New Roman"/>
        </w:rPr>
        <w:t>相同等级的切枝长度之差</w:t>
      </w:r>
      <w:r>
        <w:rPr>
          <w:rFonts w:hint="eastAsia" w:ascii="Times New Roman" w:hAnsi="Times New Roman"/>
        </w:rPr>
        <w:t>，</w:t>
      </w:r>
      <w:r>
        <w:rPr>
          <w:rFonts w:ascii="Times New Roman" w:hAnsi="Times New Roman"/>
        </w:rPr>
        <w:t>不宜超过标准</w:t>
      </w:r>
      <w:r>
        <w:rPr>
          <w:rFonts w:hint="eastAsia" w:ascii="Times New Roman" w:hAnsi="Times New Roman"/>
        </w:rPr>
        <w:t>值</w:t>
      </w:r>
      <w:r>
        <w:rPr>
          <w:rFonts w:ascii="Times New Roman" w:hAnsi="Times New Roman"/>
        </w:rPr>
        <w:t>的</w:t>
      </w:r>
      <w:r>
        <w:rPr>
          <w:rFonts w:hint="eastAsia" w:ascii="宋体" w:hAnsi="宋体" w:cs="宋体"/>
          <w:shd w:val="clear" w:color="auto" w:fill="FFFFFF"/>
        </w:rPr>
        <w:t>±</w:t>
      </w:r>
      <w:r>
        <w:rPr>
          <w:rFonts w:ascii="Times New Roman" w:hAnsi="Times New Roman"/>
        </w:rPr>
        <w:t>2 cm。</w:t>
      </w:r>
      <w:r>
        <w:rPr>
          <w:rFonts w:hint="eastAsia" w:ascii="Times New Roman" w:hAnsi="Times New Roman"/>
        </w:rPr>
        <w:t>切枝规格</w:t>
      </w:r>
      <w:r>
        <w:rPr>
          <w:rFonts w:hint="eastAsia" w:ascii="Times New Roman" w:hAnsi="Times New Roman"/>
          <w:kern w:val="0"/>
        </w:rPr>
        <w:t>等级见表1。</w:t>
      </w:r>
    </w:p>
    <w:p w14:paraId="4E321AE4">
      <w:pPr>
        <w:pStyle w:val="13"/>
        <w:jc w:val="center"/>
      </w:pPr>
      <w:r>
        <w:rPr>
          <w:sz w:val="21"/>
          <w:szCs w:val="28"/>
        </w:rPr>
        <w:t xml:space="preserve">表 </w:t>
      </w:r>
      <w:r>
        <w:rPr>
          <w:rFonts w:hint="eastAsia" w:ascii="黑体" w:hAnsi="黑体" w:cs="黑体"/>
          <w:sz w:val="21"/>
          <w:szCs w:val="28"/>
        </w:rPr>
        <w:fldChar w:fldCharType="begin"/>
      </w:r>
      <w:r>
        <w:rPr>
          <w:rFonts w:hint="eastAsia" w:ascii="黑体" w:hAnsi="黑体" w:cs="黑体"/>
          <w:sz w:val="21"/>
          <w:szCs w:val="28"/>
        </w:rPr>
        <w:instrText xml:space="preserve"> SEQ 表 \* ARABIC </w:instrText>
      </w:r>
      <w:r>
        <w:rPr>
          <w:rFonts w:hint="eastAsia" w:ascii="黑体" w:hAnsi="黑体" w:cs="黑体"/>
          <w:sz w:val="21"/>
          <w:szCs w:val="28"/>
        </w:rPr>
        <w:fldChar w:fldCharType="separate"/>
      </w:r>
      <w:r>
        <w:rPr>
          <w:rFonts w:hint="eastAsia" w:ascii="黑体" w:hAnsi="黑体" w:cs="黑体"/>
          <w:sz w:val="21"/>
          <w:szCs w:val="28"/>
        </w:rPr>
        <w:t>1</w:t>
      </w:r>
      <w:r>
        <w:rPr>
          <w:rFonts w:hint="eastAsia" w:ascii="黑体" w:hAnsi="黑体" w:cs="黑体"/>
          <w:sz w:val="21"/>
          <w:szCs w:val="28"/>
        </w:rPr>
        <w:fldChar w:fldCharType="end"/>
      </w:r>
      <w:r>
        <w:rPr>
          <w:rFonts w:hint="eastAsia"/>
          <w:sz w:val="21"/>
          <w:szCs w:val="28"/>
        </w:rPr>
        <w:t xml:space="preserve"> 切枝规格等级</w:t>
      </w:r>
    </w:p>
    <w:tbl>
      <w:tblPr>
        <w:tblStyle w:val="30"/>
        <w:tblW w:w="4994"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4" w:space="0"/>
        </w:tblBorders>
        <w:tblLayout w:type="autofit"/>
        <w:tblCellMar>
          <w:top w:w="0" w:type="dxa"/>
          <w:left w:w="108" w:type="dxa"/>
          <w:bottom w:w="0" w:type="dxa"/>
          <w:right w:w="108" w:type="dxa"/>
        </w:tblCellMar>
      </w:tblPr>
      <w:tblGrid>
        <w:gridCol w:w="3183"/>
        <w:gridCol w:w="3186"/>
        <w:gridCol w:w="3190"/>
      </w:tblGrid>
      <w:tr w14:paraId="557C8E70">
        <w:tblPrEx>
          <w:tblBorders>
            <w:top w:val="single" w:color="auto" w:sz="8" w:space="0"/>
            <w:left w:val="single" w:color="auto" w:sz="8" w:space="0"/>
            <w:bottom w:val="single" w:color="auto" w:sz="8" w:space="0"/>
            <w:right w:val="single" w:color="auto" w:sz="8" w:space="0"/>
            <w:insideH w:val="single" w:color="auto" w:sz="6" w:space="0"/>
            <w:insideV w:val="single" w:color="auto" w:sz="4" w:space="0"/>
          </w:tblBorders>
          <w:tblCellMar>
            <w:top w:w="0" w:type="dxa"/>
            <w:left w:w="108" w:type="dxa"/>
            <w:bottom w:w="0" w:type="dxa"/>
            <w:right w:w="108" w:type="dxa"/>
          </w:tblCellMar>
        </w:tblPrEx>
        <w:trPr>
          <w:jc w:val="center"/>
        </w:trPr>
        <w:tc>
          <w:tcPr>
            <w:tcW w:w="1664" w:type="pct"/>
            <w:tcBorders>
              <w:bottom w:val="single" w:color="auto" w:sz="8" w:space="0"/>
              <w:right w:val="single" w:color="auto" w:sz="6" w:space="0"/>
            </w:tcBorders>
          </w:tcPr>
          <w:p w14:paraId="0EE9D7BC">
            <w:pPr>
              <w:autoSpaceDE w:val="0"/>
              <w:autoSpaceDN w:val="0"/>
              <w:spacing w:line="240" w:lineRule="auto"/>
              <w:jc w:val="center"/>
              <w:rPr>
                <w:rFonts w:ascii="Times New Roman" w:hAnsi="Times New Roman"/>
                <w:kern w:val="0"/>
                <w:sz w:val="18"/>
                <w:szCs w:val="18"/>
              </w:rPr>
            </w:pPr>
            <w:r>
              <w:rPr>
                <w:rFonts w:hint="eastAsia" w:ascii="Times New Roman" w:hAnsi="Times New Roman"/>
                <w:kern w:val="0"/>
                <w:sz w:val="18"/>
                <w:szCs w:val="18"/>
              </w:rPr>
              <w:t>切枝分级</w:t>
            </w:r>
          </w:p>
        </w:tc>
        <w:tc>
          <w:tcPr>
            <w:tcW w:w="1666" w:type="pct"/>
            <w:tcBorders>
              <w:left w:val="single" w:color="auto" w:sz="6" w:space="0"/>
              <w:bottom w:val="single" w:color="auto" w:sz="8" w:space="0"/>
              <w:right w:val="single" w:color="auto" w:sz="6" w:space="0"/>
            </w:tcBorders>
          </w:tcPr>
          <w:p w14:paraId="4C85D891">
            <w:pPr>
              <w:autoSpaceDE w:val="0"/>
              <w:autoSpaceDN w:val="0"/>
              <w:spacing w:line="240" w:lineRule="auto"/>
              <w:jc w:val="center"/>
              <w:rPr>
                <w:rFonts w:ascii="Times New Roman" w:hAnsi="Times New Roman"/>
                <w:kern w:val="0"/>
                <w:sz w:val="18"/>
                <w:szCs w:val="18"/>
              </w:rPr>
            </w:pPr>
            <w:r>
              <w:rPr>
                <w:rFonts w:hint="eastAsia" w:ascii="Times New Roman" w:hAnsi="Times New Roman"/>
                <w:kern w:val="0"/>
                <w:sz w:val="18"/>
                <w:szCs w:val="18"/>
              </w:rPr>
              <w:t>切枝类型</w:t>
            </w:r>
          </w:p>
        </w:tc>
        <w:tc>
          <w:tcPr>
            <w:tcW w:w="1668" w:type="pct"/>
            <w:tcBorders>
              <w:left w:val="single" w:color="auto" w:sz="6" w:space="0"/>
              <w:bottom w:val="single" w:color="auto" w:sz="8" w:space="0"/>
            </w:tcBorders>
          </w:tcPr>
          <w:p w14:paraId="07654C60">
            <w:pPr>
              <w:autoSpaceDE w:val="0"/>
              <w:autoSpaceDN w:val="0"/>
              <w:spacing w:line="240" w:lineRule="auto"/>
              <w:jc w:val="center"/>
              <w:rPr>
                <w:rFonts w:ascii="宋体" w:hAnsi="宋体" w:cs="宋体"/>
                <w:kern w:val="0"/>
                <w:sz w:val="18"/>
                <w:szCs w:val="18"/>
              </w:rPr>
            </w:pPr>
            <w:r>
              <w:rPr>
                <w:rFonts w:hint="eastAsia" w:ascii="宋体" w:hAnsi="宋体" w:cs="宋体"/>
                <w:kern w:val="0"/>
                <w:sz w:val="18"/>
                <w:szCs w:val="18"/>
              </w:rPr>
              <w:t>切枝长度/cm</w:t>
            </w:r>
          </w:p>
        </w:tc>
      </w:tr>
      <w:tr w14:paraId="0D91C802">
        <w:tblPrEx>
          <w:tblBorders>
            <w:top w:val="single" w:color="auto" w:sz="8" w:space="0"/>
            <w:left w:val="single" w:color="auto" w:sz="8" w:space="0"/>
            <w:bottom w:val="single" w:color="auto" w:sz="8" w:space="0"/>
            <w:right w:val="single" w:color="auto" w:sz="8" w:space="0"/>
            <w:insideH w:val="single" w:color="auto" w:sz="6" w:space="0"/>
            <w:insideV w:val="single" w:color="auto" w:sz="4" w:space="0"/>
          </w:tblBorders>
          <w:tblCellMar>
            <w:top w:w="0" w:type="dxa"/>
            <w:left w:w="108" w:type="dxa"/>
            <w:bottom w:w="0" w:type="dxa"/>
            <w:right w:w="108" w:type="dxa"/>
          </w:tblCellMar>
        </w:tblPrEx>
        <w:trPr>
          <w:jc w:val="center"/>
        </w:trPr>
        <w:tc>
          <w:tcPr>
            <w:tcW w:w="1664" w:type="pct"/>
            <w:tcBorders>
              <w:top w:val="single" w:color="auto" w:sz="8" w:space="0"/>
              <w:right w:val="single" w:color="auto" w:sz="6" w:space="0"/>
            </w:tcBorders>
          </w:tcPr>
          <w:p w14:paraId="776C5E6E">
            <w:pPr>
              <w:autoSpaceDE w:val="0"/>
              <w:autoSpaceDN w:val="0"/>
              <w:spacing w:line="240" w:lineRule="auto"/>
              <w:jc w:val="center"/>
              <w:rPr>
                <w:rFonts w:ascii="Times New Roman" w:hAnsi="Times New Roman"/>
                <w:kern w:val="0"/>
                <w:sz w:val="18"/>
                <w:szCs w:val="18"/>
              </w:rPr>
            </w:pPr>
            <w:r>
              <w:rPr>
                <w:rFonts w:hint="eastAsia" w:ascii="Times New Roman" w:hAnsi="Times New Roman"/>
                <w:kern w:val="0"/>
                <w:sz w:val="18"/>
                <w:szCs w:val="18"/>
              </w:rPr>
              <w:t>一级</w:t>
            </w:r>
          </w:p>
        </w:tc>
        <w:tc>
          <w:tcPr>
            <w:tcW w:w="1666" w:type="pct"/>
            <w:tcBorders>
              <w:top w:val="single" w:color="auto" w:sz="8" w:space="0"/>
              <w:left w:val="single" w:color="auto" w:sz="6" w:space="0"/>
              <w:right w:val="single" w:color="auto" w:sz="6" w:space="0"/>
            </w:tcBorders>
          </w:tcPr>
          <w:p w14:paraId="358B9F2D">
            <w:pPr>
              <w:autoSpaceDE w:val="0"/>
              <w:autoSpaceDN w:val="0"/>
              <w:spacing w:line="240" w:lineRule="auto"/>
              <w:jc w:val="center"/>
              <w:rPr>
                <w:rFonts w:ascii="Times New Roman" w:hAnsi="Times New Roman"/>
                <w:kern w:val="0"/>
                <w:sz w:val="18"/>
                <w:szCs w:val="18"/>
              </w:rPr>
            </w:pPr>
            <w:r>
              <w:rPr>
                <w:rFonts w:hint="eastAsia" w:ascii="Times New Roman" w:hAnsi="Times New Roman"/>
                <w:sz w:val="18"/>
                <w:szCs w:val="18"/>
              </w:rPr>
              <w:t>多</w:t>
            </w:r>
            <w:r>
              <w:rPr>
                <w:rFonts w:ascii="Times New Roman" w:hAnsi="Times New Roman"/>
                <w:sz w:val="18"/>
                <w:szCs w:val="18"/>
              </w:rPr>
              <w:t>枝切枝</w:t>
            </w:r>
          </w:p>
        </w:tc>
        <w:tc>
          <w:tcPr>
            <w:tcW w:w="1668" w:type="pct"/>
            <w:tcBorders>
              <w:top w:val="single" w:color="auto" w:sz="8" w:space="0"/>
              <w:left w:val="single" w:color="auto" w:sz="6" w:space="0"/>
            </w:tcBorders>
          </w:tcPr>
          <w:p w14:paraId="585FF86B">
            <w:pPr>
              <w:autoSpaceDE w:val="0"/>
              <w:autoSpaceDN w:val="0"/>
              <w:spacing w:line="240" w:lineRule="auto"/>
              <w:jc w:val="center"/>
              <w:rPr>
                <w:rFonts w:ascii="宋体" w:hAnsi="宋体" w:cs="宋体"/>
                <w:kern w:val="0"/>
                <w:sz w:val="18"/>
                <w:szCs w:val="18"/>
              </w:rPr>
            </w:pPr>
            <w:r>
              <w:rPr>
                <w:rFonts w:hint="eastAsia" w:ascii="宋体" w:hAnsi="宋体" w:cs="宋体"/>
                <w:kern w:val="0"/>
                <w:sz w:val="18"/>
                <w:szCs w:val="18"/>
              </w:rPr>
              <w:t>60～69</w:t>
            </w:r>
          </w:p>
        </w:tc>
      </w:tr>
      <w:tr w14:paraId="2E2F8191">
        <w:tblPrEx>
          <w:tblBorders>
            <w:top w:val="single" w:color="auto" w:sz="8" w:space="0"/>
            <w:left w:val="single" w:color="auto" w:sz="8" w:space="0"/>
            <w:bottom w:val="single" w:color="auto" w:sz="8" w:space="0"/>
            <w:right w:val="single" w:color="auto" w:sz="8" w:space="0"/>
            <w:insideH w:val="single" w:color="auto" w:sz="6" w:space="0"/>
            <w:insideV w:val="single" w:color="auto" w:sz="4" w:space="0"/>
          </w:tblBorders>
          <w:tblCellMar>
            <w:top w:w="0" w:type="dxa"/>
            <w:left w:w="108" w:type="dxa"/>
            <w:bottom w:w="0" w:type="dxa"/>
            <w:right w:w="108" w:type="dxa"/>
          </w:tblCellMar>
        </w:tblPrEx>
        <w:trPr>
          <w:jc w:val="center"/>
        </w:trPr>
        <w:tc>
          <w:tcPr>
            <w:tcW w:w="1664" w:type="pct"/>
            <w:tcBorders>
              <w:right w:val="single" w:color="auto" w:sz="6" w:space="0"/>
            </w:tcBorders>
          </w:tcPr>
          <w:p w14:paraId="7EB03CB3">
            <w:pPr>
              <w:autoSpaceDE w:val="0"/>
              <w:autoSpaceDN w:val="0"/>
              <w:spacing w:line="240" w:lineRule="auto"/>
              <w:jc w:val="center"/>
              <w:rPr>
                <w:rFonts w:ascii="Times New Roman" w:hAnsi="Times New Roman"/>
                <w:kern w:val="0"/>
                <w:sz w:val="18"/>
                <w:szCs w:val="18"/>
              </w:rPr>
            </w:pPr>
            <w:r>
              <w:rPr>
                <w:rFonts w:hint="eastAsia" w:ascii="Times New Roman" w:hAnsi="Times New Roman"/>
                <w:kern w:val="0"/>
                <w:sz w:val="18"/>
                <w:szCs w:val="18"/>
              </w:rPr>
              <w:t>二级</w:t>
            </w:r>
          </w:p>
        </w:tc>
        <w:tc>
          <w:tcPr>
            <w:tcW w:w="1666" w:type="pct"/>
            <w:tcBorders>
              <w:left w:val="single" w:color="auto" w:sz="6" w:space="0"/>
              <w:right w:val="single" w:color="auto" w:sz="6" w:space="0"/>
            </w:tcBorders>
          </w:tcPr>
          <w:p w14:paraId="6B48B2F3">
            <w:pPr>
              <w:autoSpaceDE w:val="0"/>
              <w:autoSpaceDN w:val="0"/>
              <w:spacing w:line="240" w:lineRule="auto"/>
              <w:jc w:val="center"/>
              <w:rPr>
                <w:rFonts w:ascii="Times New Roman" w:hAnsi="Times New Roman"/>
                <w:kern w:val="0"/>
                <w:sz w:val="18"/>
                <w:szCs w:val="18"/>
              </w:rPr>
            </w:pPr>
            <w:r>
              <w:rPr>
                <w:rFonts w:hint="eastAsia" w:ascii="Times New Roman" w:hAnsi="Times New Roman"/>
                <w:sz w:val="18"/>
                <w:szCs w:val="18"/>
              </w:rPr>
              <w:t>多</w:t>
            </w:r>
            <w:r>
              <w:rPr>
                <w:rFonts w:ascii="Times New Roman" w:hAnsi="Times New Roman"/>
                <w:sz w:val="18"/>
                <w:szCs w:val="18"/>
              </w:rPr>
              <w:t>枝切枝</w:t>
            </w:r>
          </w:p>
        </w:tc>
        <w:tc>
          <w:tcPr>
            <w:tcW w:w="1668" w:type="pct"/>
            <w:tcBorders>
              <w:left w:val="single" w:color="auto" w:sz="6" w:space="0"/>
            </w:tcBorders>
          </w:tcPr>
          <w:p w14:paraId="132CCE46">
            <w:pPr>
              <w:autoSpaceDE w:val="0"/>
              <w:autoSpaceDN w:val="0"/>
              <w:spacing w:line="240" w:lineRule="auto"/>
              <w:jc w:val="center"/>
              <w:rPr>
                <w:rFonts w:ascii="宋体" w:hAnsi="宋体" w:cs="宋体"/>
                <w:kern w:val="0"/>
                <w:sz w:val="18"/>
                <w:szCs w:val="18"/>
              </w:rPr>
            </w:pPr>
            <w:r>
              <w:rPr>
                <w:rFonts w:hint="eastAsia" w:ascii="宋体" w:hAnsi="宋体" w:cs="宋体"/>
                <w:kern w:val="0"/>
                <w:sz w:val="18"/>
                <w:szCs w:val="18"/>
              </w:rPr>
              <w:t>50</w:t>
            </w:r>
            <w:r>
              <w:rPr>
                <w:rFonts w:hint="eastAsia" w:ascii="宋体" w:hAnsi="宋体" w:cs="宋体"/>
                <w:color w:val="000000"/>
                <w:kern w:val="0"/>
                <w:sz w:val="18"/>
                <w:szCs w:val="18"/>
              </w:rPr>
              <w:t>～</w:t>
            </w:r>
            <w:r>
              <w:rPr>
                <w:rFonts w:hint="eastAsia" w:ascii="宋体" w:hAnsi="宋体" w:cs="宋体"/>
                <w:kern w:val="0"/>
                <w:sz w:val="18"/>
                <w:szCs w:val="18"/>
              </w:rPr>
              <w:t>59</w:t>
            </w:r>
          </w:p>
        </w:tc>
      </w:tr>
      <w:tr w14:paraId="776E12E5">
        <w:tblPrEx>
          <w:tblBorders>
            <w:top w:val="single" w:color="auto" w:sz="8" w:space="0"/>
            <w:left w:val="single" w:color="auto" w:sz="8" w:space="0"/>
            <w:bottom w:val="single" w:color="auto" w:sz="8" w:space="0"/>
            <w:right w:val="single" w:color="auto" w:sz="8" w:space="0"/>
            <w:insideH w:val="single" w:color="auto" w:sz="6" w:space="0"/>
            <w:insideV w:val="single" w:color="auto" w:sz="4" w:space="0"/>
          </w:tblBorders>
          <w:tblCellMar>
            <w:top w:w="0" w:type="dxa"/>
            <w:left w:w="108" w:type="dxa"/>
            <w:bottom w:w="0" w:type="dxa"/>
            <w:right w:w="108" w:type="dxa"/>
          </w:tblCellMar>
        </w:tblPrEx>
        <w:trPr>
          <w:jc w:val="center"/>
        </w:trPr>
        <w:tc>
          <w:tcPr>
            <w:tcW w:w="1664" w:type="pct"/>
            <w:tcBorders>
              <w:right w:val="single" w:color="auto" w:sz="6" w:space="0"/>
            </w:tcBorders>
          </w:tcPr>
          <w:p w14:paraId="7EA712D3">
            <w:pPr>
              <w:autoSpaceDE w:val="0"/>
              <w:autoSpaceDN w:val="0"/>
              <w:spacing w:line="240" w:lineRule="auto"/>
              <w:jc w:val="center"/>
              <w:rPr>
                <w:rFonts w:ascii="Times New Roman" w:hAnsi="Times New Roman"/>
                <w:kern w:val="0"/>
                <w:sz w:val="18"/>
                <w:szCs w:val="18"/>
              </w:rPr>
            </w:pPr>
            <w:r>
              <w:rPr>
                <w:rFonts w:hint="eastAsia" w:ascii="Times New Roman" w:hAnsi="Times New Roman"/>
                <w:kern w:val="0"/>
                <w:sz w:val="18"/>
                <w:szCs w:val="18"/>
              </w:rPr>
              <w:t>三级</w:t>
            </w:r>
          </w:p>
        </w:tc>
        <w:tc>
          <w:tcPr>
            <w:tcW w:w="1666" w:type="pct"/>
            <w:tcBorders>
              <w:left w:val="single" w:color="auto" w:sz="6" w:space="0"/>
              <w:right w:val="single" w:color="auto" w:sz="6" w:space="0"/>
            </w:tcBorders>
          </w:tcPr>
          <w:p w14:paraId="1A9D542F">
            <w:pPr>
              <w:autoSpaceDE w:val="0"/>
              <w:autoSpaceDN w:val="0"/>
              <w:spacing w:line="240" w:lineRule="auto"/>
              <w:jc w:val="center"/>
              <w:rPr>
                <w:rFonts w:ascii="Times New Roman" w:hAnsi="Times New Roman"/>
                <w:kern w:val="0"/>
                <w:sz w:val="18"/>
                <w:szCs w:val="18"/>
              </w:rPr>
            </w:pPr>
            <w:r>
              <w:rPr>
                <w:rFonts w:hint="eastAsia" w:ascii="Times New Roman" w:hAnsi="Times New Roman"/>
                <w:sz w:val="18"/>
                <w:szCs w:val="18"/>
              </w:rPr>
              <w:t>多</w:t>
            </w:r>
            <w:r>
              <w:rPr>
                <w:rFonts w:ascii="Times New Roman" w:hAnsi="Times New Roman"/>
                <w:sz w:val="18"/>
                <w:szCs w:val="18"/>
              </w:rPr>
              <w:t>枝切枝</w:t>
            </w:r>
          </w:p>
        </w:tc>
        <w:tc>
          <w:tcPr>
            <w:tcW w:w="1668" w:type="pct"/>
            <w:tcBorders>
              <w:left w:val="single" w:color="auto" w:sz="6" w:space="0"/>
            </w:tcBorders>
          </w:tcPr>
          <w:p w14:paraId="3F6A769A">
            <w:pPr>
              <w:autoSpaceDE w:val="0"/>
              <w:autoSpaceDN w:val="0"/>
              <w:spacing w:line="240" w:lineRule="auto"/>
              <w:jc w:val="center"/>
              <w:rPr>
                <w:rFonts w:ascii="宋体" w:hAnsi="宋体" w:cs="宋体"/>
                <w:kern w:val="0"/>
                <w:sz w:val="18"/>
                <w:szCs w:val="18"/>
              </w:rPr>
            </w:pPr>
            <w:r>
              <w:rPr>
                <w:rFonts w:hint="eastAsia" w:ascii="宋体" w:hAnsi="宋体" w:cs="宋体"/>
                <w:kern w:val="0"/>
                <w:sz w:val="18"/>
                <w:szCs w:val="18"/>
              </w:rPr>
              <w:t>40</w:t>
            </w:r>
            <w:r>
              <w:rPr>
                <w:rFonts w:hint="eastAsia" w:ascii="宋体" w:hAnsi="宋体" w:cs="宋体"/>
                <w:color w:val="000000"/>
                <w:kern w:val="0"/>
                <w:sz w:val="18"/>
                <w:szCs w:val="18"/>
              </w:rPr>
              <w:t>～</w:t>
            </w:r>
            <w:r>
              <w:rPr>
                <w:rFonts w:hint="eastAsia" w:ascii="宋体" w:hAnsi="宋体" w:cs="宋体"/>
                <w:kern w:val="0"/>
                <w:sz w:val="18"/>
                <w:szCs w:val="18"/>
              </w:rPr>
              <w:t>49</w:t>
            </w:r>
          </w:p>
        </w:tc>
      </w:tr>
      <w:tr w14:paraId="081BC6EB">
        <w:tblPrEx>
          <w:tblBorders>
            <w:top w:val="single" w:color="auto" w:sz="8" w:space="0"/>
            <w:left w:val="single" w:color="auto" w:sz="8" w:space="0"/>
            <w:bottom w:val="single" w:color="auto" w:sz="8" w:space="0"/>
            <w:right w:val="single" w:color="auto" w:sz="8" w:space="0"/>
            <w:insideH w:val="single" w:color="auto" w:sz="6" w:space="0"/>
            <w:insideV w:val="single" w:color="auto" w:sz="4" w:space="0"/>
          </w:tblBorders>
          <w:tblCellMar>
            <w:top w:w="0" w:type="dxa"/>
            <w:left w:w="108" w:type="dxa"/>
            <w:bottom w:w="0" w:type="dxa"/>
            <w:right w:w="108" w:type="dxa"/>
          </w:tblCellMar>
        </w:tblPrEx>
        <w:trPr>
          <w:jc w:val="center"/>
        </w:trPr>
        <w:tc>
          <w:tcPr>
            <w:tcW w:w="1664" w:type="pct"/>
            <w:tcBorders>
              <w:top w:val="single" w:color="auto" w:sz="6" w:space="0"/>
              <w:right w:val="single" w:color="auto" w:sz="6" w:space="0"/>
            </w:tcBorders>
          </w:tcPr>
          <w:p w14:paraId="40D0F89F">
            <w:pPr>
              <w:autoSpaceDE w:val="0"/>
              <w:autoSpaceDN w:val="0"/>
              <w:spacing w:line="240" w:lineRule="auto"/>
              <w:jc w:val="center"/>
              <w:rPr>
                <w:rFonts w:ascii="Times New Roman" w:hAnsi="Times New Roman"/>
                <w:kern w:val="0"/>
                <w:sz w:val="18"/>
                <w:szCs w:val="18"/>
              </w:rPr>
            </w:pPr>
            <w:r>
              <w:rPr>
                <w:rFonts w:hint="eastAsia" w:ascii="Times New Roman" w:hAnsi="Times New Roman"/>
                <w:kern w:val="0"/>
                <w:sz w:val="18"/>
                <w:szCs w:val="18"/>
              </w:rPr>
              <w:t>四级</w:t>
            </w:r>
          </w:p>
        </w:tc>
        <w:tc>
          <w:tcPr>
            <w:tcW w:w="1666" w:type="pct"/>
            <w:tcBorders>
              <w:top w:val="single" w:color="auto" w:sz="6" w:space="0"/>
              <w:left w:val="single" w:color="auto" w:sz="6" w:space="0"/>
              <w:right w:val="single" w:color="auto" w:sz="6" w:space="0"/>
            </w:tcBorders>
          </w:tcPr>
          <w:p w14:paraId="148C1179">
            <w:pPr>
              <w:autoSpaceDE w:val="0"/>
              <w:autoSpaceDN w:val="0"/>
              <w:spacing w:line="240" w:lineRule="auto"/>
              <w:jc w:val="center"/>
              <w:rPr>
                <w:rFonts w:ascii="Times New Roman" w:hAnsi="Times New Roman"/>
                <w:kern w:val="0"/>
                <w:sz w:val="18"/>
                <w:szCs w:val="18"/>
              </w:rPr>
            </w:pPr>
            <w:r>
              <w:rPr>
                <w:rFonts w:hint="eastAsia" w:ascii="Times New Roman" w:hAnsi="Times New Roman"/>
                <w:sz w:val="18"/>
                <w:szCs w:val="18"/>
              </w:rPr>
              <w:t>多</w:t>
            </w:r>
            <w:r>
              <w:rPr>
                <w:rFonts w:ascii="Times New Roman" w:hAnsi="Times New Roman"/>
                <w:sz w:val="18"/>
                <w:szCs w:val="18"/>
              </w:rPr>
              <w:t>枝切枝</w:t>
            </w:r>
          </w:p>
        </w:tc>
        <w:tc>
          <w:tcPr>
            <w:tcW w:w="1668" w:type="pct"/>
            <w:tcBorders>
              <w:top w:val="single" w:color="auto" w:sz="6" w:space="0"/>
              <w:left w:val="single" w:color="auto" w:sz="6" w:space="0"/>
            </w:tcBorders>
          </w:tcPr>
          <w:p w14:paraId="122A1032">
            <w:pPr>
              <w:autoSpaceDE w:val="0"/>
              <w:autoSpaceDN w:val="0"/>
              <w:spacing w:line="240" w:lineRule="auto"/>
              <w:jc w:val="center"/>
              <w:rPr>
                <w:rFonts w:ascii="宋体" w:hAnsi="宋体" w:cs="宋体"/>
                <w:kern w:val="0"/>
                <w:sz w:val="18"/>
                <w:szCs w:val="18"/>
              </w:rPr>
            </w:pPr>
            <w:r>
              <w:rPr>
                <w:rFonts w:hint="eastAsia" w:ascii="宋体" w:hAnsi="宋体" w:cs="宋体"/>
                <w:kern w:val="0"/>
                <w:sz w:val="18"/>
                <w:szCs w:val="18"/>
              </w:rPr>
              <w:t>30</w:t>
            </w:r>
            <w:r>
              <w:rPr>
                <w:rFonts w:hint="eastAsia" w:ascii="宋体" w:hAnsi="宋体" w:cs="宋体"/>
                <w:color w:val="000000"/>
                <w:kern w:val="0"/>
                <w:sz w:val="18"/>
                <w:szCs w:val="18"/>
              </w:rPr>
              <w:t>～</w:t>
            </w:r>
            <w:r>
              <w:rPr>
                <w:rFonts w:hint="eastAsia" w:ascii="宋体" w:hAnsi="宋体" w:cs="宋体"/>
                <w:kern w:val="0"/>
                <w:sz w:val="18"/>
                <w:szCs w:val="18"/>
              </w:rPr>
              <w:t>39</w:t>
            </w:r>
          </w:p>
        </w:tc>
      </w:tr>
      <w:tr w14:paraId="705045F2">
        <w:tblPrEx>
          <w:tblBorders>
            <w:top w:val="single" w:color="auto" w:sz="8" w:space="0"/>
            <w:left w:val="single" w:color="auto" w:sz="8" w:space="0"/>
            <w:bottom w:val="single" w:color="auto" w:sz="8" w:space="0"/>
            <w:right w:val="single" w:color="auto" w:sz="8" w:space="0"/>
            <w:insideH w:val="single" w:color="auto" w:sz="6" w:space="0"/>
            <w:insideV w:val="single" w:color="auto" w:sz="4" w:space="0"/>
          </w:tblBorders>
          <w:tblCellMar>
            <w:top w:w="0" w:type="dxa"/>
            <w:left w:w="108" w:type="dxa"/>
            <w:bottom w:w="0" w:type="dxa"/>
            <w:right w:w="108" w:type="dxa"/>
          </w:tblCellMar>
        </w:tblPrEx>
        <w:trPr>
          <w:jc w:val="center"/>
        </w:trPr>
        <w:tc>
          <w:tcPr>
            <w:tcW w:w="1664" w:type="pct"/>
            <w:tcBorders>
              <w:right w:val="single" w:color="auto" w:sz="6" w:space="0"/>
            </w:tcBorders>
          </w:tcPr>
          <w:p w14:paraId="1891CC41">
            <w:pPr>
              <w:autoSpaceDE w:val="0"/>
              <w:autoSpaceDN w:val="0"/>
              <w:spacing w:line="240" w:lineRule="auto"/>
              <w:jc w:val="center"/>
              <w:rPr>
                <w:rFonts w:ascii="Times New Roman" w:hAnsi="Times New Roman"/>
                <w:kern w:val="0"/>
                <w:sz w:val="18"/>
                <w:szCs w:val="18"/>
              </w:rPr>
            </w:pPr>
            <w:r>
              <w:rPr>
                <w:rFonts w:hint="eastAsia" w:ascii="Times New Roman" w:hAnsi="Times New Roman"/>
                <w:kern w:val="0"/>
                <w:sz w:val="18"/>
                <w:szCs w:val="18"/>
              </w:rPr>
              <w:t>五级</w:t>
            </w:r>
          </w:p>
        </w:tc>
        <w:tc>
          <w:tcPr>
            <w:tcW w:w="1666" w:type="pct"/>
            <w:tcBorders>
              <w:left w:val="single" w:color="auto" w:sz="6" w:space="0"/>
              <w:right w:val="single" w:color="auto" w:sz="6" w:space="0"/>
            </w:tcBorders>
          </w:tcPr>
          <w:p w14:paraId="73AF3846">
            <w:pPr>
              <w:autoSpaceDE w:val="0"/>
              <w:autoSpaceDN w:val="0"/>
              <w:spacing w:line="240" w:lineRule="auto"/>
              <w:jc w:val="center"/>
              <w:rPr>
                <w:rFonts w:ascii="Times New Roman" w:hAnsi="Times New Roman"/>
                <w:kern w:val="0"/>
                <w:sz w:val="18"/>
                <w:szCs w:val="18"/>
              </w:rPr>
            </w:pPr>
            <w:r>
              <w:rPr>
                <w:rFonts w:hint="eastAsia" w:ascii="Times New Roman" w:hAnsi="Times New Roman"/>
                <w:sz w:val="18"/>
                <w:szCs w:val="18"/>
              </w:rPr>
              <w:t>多</w:t>
            </w:r>
            <w:r>
              <w:rPr>
                <w:rFonts w:ascii="Times New Roman" w:hAnsi="Times New Roman"/>
                <w:sz w:val="18"/>
                <w:szCs w:val="18"/>
              </w:rPr>
              <w:t>枝切枝</w:t>
            </w:r>
          </w:p>
        </w:tc>
        <w:tc>
          <w:tcPr>
            <w:tcW w:w="1668" w:type="pct"/>
            <w:tcBorders>
              <w:left w:val="single" w:color="auto" w:sz="6" w:space="0"/>
            </w:tcBorders>
          </w:tcPr>
          <w:p w14:paraId="1E116985">
            <w:pPr>
              <w:autoSpaceDE w:val="0"/>
              <w:autoSpaceDN w:val="0"/>
              <w:spacing w:line="240" w:lineRule="auto"/>
              <w:jc w:val="center"/>
              <w:rPr>
                <w:rFonts w:ascii="宋体" w:hAnsi="宋体" w:cs="宋体"/>
                <w:kern w:val="0"/>
                <w:sz w:val="18"/>
                <w:szCs w:val="18"/>
              </w:rPr>
            </w:pPr>
            <w:r>
              <w:rPr>
                <w:rFonts w:hint="eastAsia" w:ascii="宋体" w:hAnsi="宋体" w:cs="宋体"/>
                <w:kern w:val="0"/>
                <w:sz w:val="18"/>
                <w:szCs w:val="18"/>
              </w:rPr>
              <w:t>20</w:t>
            </w:r>
            <w:r>
              <w:rPr>
                <w:rFonts w:hint="eastAsia" w:ascii="宋体" w:hAnsi="宋体" w:cs="宋体"/>
                <w:color w:val="000000"/>
                <w:kern w:val="0"/>
                <w:sz w:val="18"/>
                <w:szCs w:val="18"/>
              </w:rPr>
              <w:t>～</w:t>
            </w:r>
            <w:r>
              <w:rPr>
                <w:rFonts w:hint="eastAsia" w:ascii="宋体" w:hAnsi="宋体" w:cs="宋体"/>
                <w:kern w:val="0"/>
                <w:sz w:val="18"/>
                <w:szCs w:val="18"/>
              </w:rPr>
              <w:t>29</w:t>
            </w:r>
          </w:p>
        </w:tc>
      </w:tr>
      <w:tr w14:paraId="06636064">
        <w:tblPrEx>
          <w:tblBorders>
            <w:top w:val="single" w:color="auto" w:sz="8" w:space="0"/>
            <w:left w:val="single" w:color="auto" w:sz="8" w:space="0"/>
            <w:bottom w:val="single" w:color="auto" w:sz="8" w:space="0"/>
            <w:right w:val="single" w:color="auto" w:sz="8" w:space="0"/>
            <w:insideH w:val="single" w:color="auto" w:sz="6" w:space="0"/>
            <w:insideV w:val="single" w:color="auto" w:sz="4" w:space="0"/>
          </w:tblBorders>
          <w:tblCellMar>
            <w:top w:w="0" w:type="dxa"/>
            <w:left w:w="108" w:type="dxa"/>
            <w:bottom w:w="0" w:type="dxa"/>
            <w:right w:w="108" w:type="dxa"/>
          </w:tblCellMar>
        </w:tblPrEx>
        <w:trPr>
          <w:jc w:val="center"/>
        </w:trPr>
        <w:tc>
          <w:tcPr>
            <w:tcW w:w="1664" w:type="pct"/>
            <w:tcBorders>
              <w:right w:val="single" w:color="auto" w:sz="6" w:space="0"/>
            </w:tcBorders>
          </w:tcPr>
          <w:p w14:paraId="564D522B">
            <w:pPr>
              <w:autoSpaceDE w:val="0"/>
              <w:autoSpaceDN w:val="0"/>
              <w:spacing w:line="240" w:lineRule="auto"/>
              <w:jc w:val="center"/>
              <w:rPr>
                <w:rFonts w:ascii="Times New Roman" w:hAnsi="Times New Roman"/>
                <w:kern w:val="0"/>
                <w:sz w:val="18"/>
                <w:szCs w:val="18"/>
              </w:rPr>
            </w:pPr>
            <w:r>
              <w:rPr>
                <w:rFonts w:hint="eastAsia" w:ascii="Times New Roman" w:hAnsi="Times New Roman"/>
                <w:kern w:val="0"/>
                <w:sz w:val="18"/>
                <w:szCs w:val="18"/>
              </w:rPr>
              <w:t>六级</w:t>
            </w:r>
          </w:p>
        </w:tc>
        <w:tc>
          <w:tcPr>
            <w:tcW w:w="1666" w:type="pct"/>
            <w:tcBorders>
              <w:left w:val="single" w:color="auto" w:sz="6" w:space="0"/>
              <w:right w:val="single" w:color="auto" w:sz="6" w:space="0"/>
            </w:tcBorders>
          </w:tcPr>
          <w:p w14:paraId="1564E5B1">
            <w:pPr>
              <w:autoSpaceDE w:val="0"/>
              <w:autoSpaceDN w:val="0"/>
              <w:spacing w:line="240" w:lineRule="auto"/>
              <w:jc w:val="center"/>
              <w:rPr>
                <w:rFonts w:ascii="Times New Roman" w:hAnsi="Times New Roman"/>
                <w:kern w:val="0"/>
                <w:sz w:val="18"/>
                <w:szCs w:val="18"/>
              </w:rPr>
            </w:pPr>
            <w:r>
              <w:rPr>
                <w:rFonts w:hint="eastAsia" w:ascii="Times New Roman"/>
                <w:sz w:val="18"/>
                <w:szCs w:val="18"/>
              </w:rPr>
              <w:t>单枝切枝</w:t>
            </w:r>
          </w:p>
        </w:tc>
        <w:tc>
          <w:tcPr>
            <w:tcW w:w="1668" w:type="pct"/>
            <w:tcBorders>
              <w:left w:val="single" w:color="auto" w:sz="6" w:space="0"/>
            </w:tcBorders>
          </w:tcPr>
          <w:p w14:paraId="6A9CB40E">
            <w:pPr>
              <w:autoSpaceDE w:val="0"/>
              <w:autoSpaceDN w:val="0"/>
              <w:spacing w:line="240" w:lineRule="auto"/>
              <w:jc w:val="center"/>
              <w:rPr>
                <w:rFonts w:ascii="宋体" w:hAnsi="宋体" w:cs="宋体"/>
                <w:kern w:val="0"/>
                <w:sz w:val="18"/>
                <w:szCs w:val="18"/>
              </w:rPr>
            </w:pPr>
            <w:r>
              <w:rPr>
                <w:rFonts w:hint="eastAsia" w:ascii="宋体" w:hAnsi="宋体" w:cs="宋体"/>
                <w:kern w:val="0"/>
                <w:sz w:val="18"/>
                <w:szCs w:val="18"/>
              </w:rPr>
              <w:t>15</w:t>
            </w:r>
            <w:r>
              <w:rPr>
                <w:rFonts w:hint="eastAsia" w:ascii="宋体" w:hAnsi="宋体" w:cs="宋体"/>
                <w:color w:val="000000"/>
                <w:kern w:val="0"/>
                <w:sz w:val="18"/>
                <w:szCs w:val="18"/>
              </w:rPr>
              <w:t>～</w:t>
            </w:r>
            <w:r>
              <w:rPr>
                <w:rFonts w:hint="eastAsia" w:ascii="宋体" w:hAnsi="宋体" w:cs="宋体"/>
                <w:kern w:val="0"/>
                <w:sz w:val="18"/>
                <w:szCs w:val="18"/>
              </w:rPr>
              <w:t>19</w:t>
            </w:r>
          </w:p>
        </w:tc>
      </w:tr>
    </w:tbl>
    <w:p w14:paraId="549196FB">
      <w:pPr>
        <w:pStyle w:val="108"/>
        <w:spacing w:before="312" w:after="312"/>
      </w:pPr>
      <w:r>
        <w:rPr>
          <w:rFonts w:hint="eastAsia"/>
        </w:rPr>
        <w:t>贮藏、包装与运输</w:t>
      </w:r>
    </w:p>
    <w:p w14:paraId="10C8CA2F">
      <w:pPr>
        <w:pStyle w:val="109"/>
        <w:spacing w:before="156" w:after="156"/>
      </w:pPr>
      <w:r>
        <w:rPr>
          <w:rFonts w:hint="eastAsia"/>
        </w:rPr>
        <w:t>贮藏</w:t>
      </w:r>
    </w:p>
    <w:p w14:paraId="4493C013">
      <w:pPr>
        <w:autoSpaceDE w:val="0"/>
        <w:autoSpaceDN w:val="0"/>
        <w:spacing w:line="240" w:lineRule="auto"/>
        <w:ind w:firstLine="420" w:firstLineChars="200"/>
        <w:rPr>
          <w:rFonts w:ascii="Times New Roman" w:hAnsi="Times New Roman"/>
          <w:kern w:val="0"/>
        </w:rPr>
      </w:pPr>
      <w:r>
        <w:rPr>
          <w:rFonts w:ascii="Times New Roman" w:hAnsi="Times New Roman"/>
          <w:color w:val="000000"/>
          <w:kern w:val="0"/>
        </w:rPr>
        <w:t>贮藏</w:t>
      </w:r>
      <w:r>
        <w:rPr>
          <w:rFonts w:ascii="Times New Roman" w:hAnsi="Times New Roman"/>
          <w:kern w:val="0"/>
        </w:rPr>
        <w:t>前对切枝进行30</w:t>
      </w:r>
      <w:r>
        <w:rPr>
          <w:rFonts w:hint="eastAsia" w:ascii="Times New Roman" w:hAnsi="Times New Roman"/>
          <w:kern w:val="0"/>
        </w:rPr>
        <w:t xml:space="preserve"> </w:t>
      </w:r>
      <w:r>
        <w:rPr>
          <w:rFonts w:ascii="Times New Roman" w:hAnsi="Times New Roman"/>
          <w:kern w:val="0"/>
        </w:rPr>
        <w:t>min真空预冷，预冷时切枝瓶插于清水中</w:t>
      </w:r>
      <w:r>
        <w:rPr>
          <w:rFonts w:hint="eastAsia" w:ascii="Times New Roman" w:hAnsi="Times New Roman"/>
          <w:kern w:val="0"/>
        </w:rPr>
        <w:t>。</w:t>
      </w:r>
      <w:r>
        <w:rPr>
          <w:rFonts w:hint="eastAsia" w:ascii="黑体" w:cs="黑体"/>
        </w:rPr>
        <w:t>预冷方式按</w:t>
      </w:r>
      <w:r>
        <w:rPr>
          <w:rFonts w:ascii="Times New Roman" w:hAnsi="Times New Roman"/>
        </w:rPr>
        <w:t>GB/T 23897</w:t>
      </w:r>
      <w:r>
        <w:rPr>
          <w:rFonts w:hint="eastAsia" w:ascii="黑体" w:cs="黑体"/>
        </w:rPr>
        <w:t>规定执行。</w:t>
      </w:r>
      <w:r>
        <w:rPr>
          <w:rFonts w:ascii="Times New Roman" w:hAnsi="Times New Roman"/>
          <w:kern w:val="0"/>
        </w:rPr>
        <w:t>短期售卖的</w:t>
      </w:r>
      <w:r>
        <w:rPr>
          <w:rFonts w:hint="eastAsia" w:ascii="Times New Roman" w:hAnsi="Times New Roman"/>
          <w:kern w:val="0"/>
        </w:rPr>
        <w:t>切花</w:t>
      </w:r>
      <w:r>
        <w:rPr>
          <w:rFonts w:ascii="Times New Roman" w:hAnsi="Times New Roman"/>
          <w:kern w:val="0"/>
        </w:rPr>
        <w:t>杜鹃采用湿藏，温度为</w:t>
      </w:r>
      <w:r>
        <w:rPr>
          <w:rFonts w:hint="eastAsia" w:ascii="Times New Roman" w:hAnsi="Times New Roman"/>
          <w:kern w:val="0"/>
        </w:rPr>
        <w:t>3</w:t>
      </w:r>
      <w:r>
        <w:rPr>
          <w:rFonts w:hint="eastAsia" w:ascii="宋体" w:hAnsi="宋体" w:cs="宋体"/>
        </w:rPr>
        <w:t>℃</w:t>
      </w:r>
      <w:r>
        <w:rPr>
          <w:rFonts w:hint="eastAsia" w:ascii="宋体" w:hAnsi="宋体" w:cs="宋体"/>
          <w:kern w:val="0"/>
        </w:rPr>
        <w:t>～</w:t>
      </w:r>
      <w:r>
        <w:rPr>
          <w:rFonts w:hint="eastAsia" w:ascii="Times New Roman" w:hAnsi="Times New Roman"/>
          <w:kern w:val="0"/>
        </w:rPr>
        <w:t>5</w:t>
      </w:r>
      <w:r>
        <w:rPr>
          <w:rFonts w:hint="eastAsia" w:ascii="宋体" w:hAnsi="宋体" w:cs="宋体"/>
        </w:rPr>
        <w:t>℃</w:t>
      </w:r>
      <w:r>
        <w:rPr>
          <w:rFonts w:ascii="Times New Roman" w:hAnsi="Times New Roman"/>
          <w:kern w:val="0"/>
        </w:rPr>
        <w:t>，相对湿度为85</w:t>
      </w:r>
      <w:r>
        <w:rPr>
          <w:rFonts w:hint="eastAsia" w:ascii="Times New Roman" w:hAnsi="Times New Roman"/>
          <w:kern w:val="0"/>
        </w:rPr>
        <w:t>%</w:t>
      </w:r>
      <w:r>
        <w:rPr>
          <w:rFonts w:hint="eastAsia" w:ascii="宋体" w:hAnsi="宋体" w:cs="宋体"/>
          <w:kern w:val="0"/>
        </w:rPr>
        <w:t>～</w:t>
      </w:r>
      <w:r>
        <w:rPr>
          <w:rFonts w:ascii="Times New Roman" w:hAnsi="Times New Roman"/>
          <w:kern w:val="0"/>
        </w:rPr>
        <w:t>95</w:t>
      </w:r>
      <w:r>
        <w:rPr>
          <w:rFonts w:hint="eastAsia" w:ascii="Times New Roman" w:hAnsi="Times New Roman"/>
          <w:kern w:val="0"/>
        </w:rPr>
        <w:t>%</w:t>
      </w:r>
      <w:r>
        <w:rPr>
          <w:rFonts w:ascii="Times New Roman" w:hAnsi="Times New Roman"/>
          <w:kern w:val="0"/>
        </w:rPr>
        <w:t>。需长期贮藏的</w:t>
      </w:r>
      <w:r>
        <w:rPr>
          <w:rFonts w:hint="eastAsia" w:ascii="Times New Roman" w:hAnsi="Times New Roman"/>
          <w:kern w:val="0"/>
        </w:rPr>
        <w:t>切花</w:t>
      </w:r>
      <w:r>
        <w:rPr>
          <w:rFonts w:ascii="Times New Roman" w:hAnsi="Times New Roman"/>
          <w:kern w:val="0"/>
        </w:rPr>
        <w:t>杜鹃应低温贮藏，</w:t>
      </w:r>
      <w:r>
        <w:rPr>
          <w:rFonts w:hint="eastAsia" w:ascii="Times New Roman" w:hAnsi="Times New Roman"/>
          <w:kern w:val="0"/>
        </w:rPr>
        <w:t>温度为</w:t>
      </w:r>
      <w:r>
        <w:rPr>
          <w:rFonts w:ascii="Times New Roman" w:hAnsi="Times New Roman"/>
          <w:kern w:val="0"/>
        </w:rPr>
        <w:t>0</w:t>
      </w:r>
      <w:r>
        <w:rPr>
          <w:rFonts w:hint="eastAsia" w:ascii="宋体" w:hAnsi="宋体" w:cs="宋体"/>
        </w:rPr>
        <w:t>℃</w:t>
      </w:r>
      <w:r>
        <w:rPr>
          <w:rFonts w:hint="eastAsia" w:ascii="宋体" w:hAnsi="宋体" w:cs="宋体"/>
          <w:kern w:val="0"/>
        </w:rPr>
        <w:t>～</w:t>
      </w:r>
      <w:r>
        <w:rPr>
          <w:rFonts w:hint="eastAsia" w:ascii="Times New Roman" w:hAnsi="Times New Roman"/>
          <w:kern w:val="0"/>
        </w:rPr>
        <w:t>2</w:t>
      </w:r>
      <w:r>
        <w:rPr>
          <w:rFonts w:hint="eastAsia" w:ascii="宋体" w:hAnsi="宋体" w:cs="宋体"/>
        </w:rPr>
        <w:t>℃</w:t>
      </w:r>
      <w:r>
        <w:rPr>
          <w:rFonts w:hint="eastAsia" w:ascii="Times New Roman" w:hAnsi="Times New Roman"/>
          <w:kern w:val="0"/>
        </w:rPr>
        <w:t>，</w:t>
      </w:r>
      <w:r>
        <w:rPr>
          <w:rFonts w:ascii="Times New Roman" w:hAnsi="Times New Roman"/>
          <w:kern w:val="0"/>
        </w:rPr>
        <w:t>一般可贮藏15</w:t>
      </w:r>
      <w:r>
        <w:rPr>
          <w:rFonts w:hint="eastAsia" w:ascii="Times New Roman" w:hAnsi="Times New Roman"/>
          <w:kern w:val="0"/>
        </w:rPr>
        <w:t xml:space="preserve"> </w:t>
      </w:r>
      <w:r>
        <w:rPr>
          <w:rFonts w:ascii="Times New Roman" w:hAnsi="Times New Roman"/>
          <w:kern w:val="0"/>
        </w:rPr>
        <w:t>d</w:t>
      </w:r>
      <w:r>
        <w:rPr>
          <w:rFonts w:hint="eastAsia" w:ascii="宋体" w:hAnsi="宋体" w:cs="宋体"/>
          <w:kern w:val="0"/>
        </w:rPr>
        <w:t>～</w:t>
      </w:r>
      <w:r>
        <w:rPr>
          <w:rFonts w:ascii="Times New Roman" w:hAnsi="Times New Roman"/>
          <w:kern w:val="0"/>
        </w:rPr>
        <w:t>30</w:t>
      </w:r>
      <w:r>
        <w:rPr>
          <w:rFonts w:hint="eastAsia" w:ascii="Times New Roman" w:hAnsi="Times New Roman"/>
          <w:kern w:val="0"/>
        </w:rPr>
        <w:t xml:space="preserve"> </w:t>
      </w:r>
      <w:r>
        <w:rPr>
          <w:rFonts w:ascii="Times New Roman" w:hAnsi="Times New Roman"/>
          <w:kern w:val="0"/>
        </w:rPr>
        <w:t>d。</w:t>
      </w:r>
    </w:p>
    <w:p w14:paraId="1224DA7A">
      <w:pPr>
        <w:pStyle w:val="109"/>
        <w:spacing w:before="156" w:after="156"/>
      </w:pPr>
      <w:r>
        <w:rPr>
          <w:rFonts w:hint="eastAsia"/>
        </w:rPr>
        <w:t>包装</w:t>
      </w:r>
    </w:p>
    <w:p w14:paraId="30C314DE">
      <w:pPr>
        <w:autoSpaceDE w:val="0"/>
        <w:autoSpaceDN w:val="0"/>
        <w:spacing w:line="240" w:lineRule="auto"/>
        <w:rPr>
          <w:rFonts w:ascii="Times New Roman" w:hAnsi="Times New Roman"/>
          <w:kern w:val="0"/>
        </w:rPr>
      </w:pPr>
      <w:r>
        <w:rPr>
          <w:rFonts w:hint="eastAsia" w:ascii="黑体" w:cs="黑体"/>
          <w:color w:val="000000"/>
        </w:rPr>
        <w:t xml:space="preserve">   </w:t>
      </w:r>
      <w:r>
        <w:rPr>
          <w:rFonts w:ascii="Times New Roman" w:hAnsi="Times New Roman"/>
          <w:color w:val="000000"/>
          <w:kern w:val="0"/>
        </w:rPr>
        <w:t xml:space="preserve"> </w:t>
      </w:r>
      <w:r>
        <w:rPr>
          <w:rFonts w:hint="eastAsia" w:ascii="Times New Roman" w:hAnsi="Times New Roman"/>
        </w:rPr>
        <w:t>多</w:t>
      </w:r>
      <w:r>
        <w:rPr>
          <w:rFonts w:ascii="Times New Roman" w:hAnsi="Times New Roman"/>
        </w:rPr>
        <w:t>枝切枝</w:t>
      </w:r>
      <w:r>
        <w:rPr>
          <w:rFonts w:hint="eastAsia" w:ascii="Times New Roman" w:hAnsi="Times New Roman"/>
        </w:rPr>
        <w:t>10束为一扎，单枝切枝15束为一扎。</w:t>
      </w:r>
      <w:r>
        <w:rPr>
          <w:rFonts w:ascii="Times New Roman" w:hAnsi="Times New Roman"/>
          <w:color w:val="000000"/>
          <w:kern w:val="0"/>
        </w:rPr>
        <w:t>花蕾先</w:t>
      </w:r>
      <w:r>
        <w:rPr>
          <w:rFonts w:ascii="Times New Roman" w:hAnsi="Times New Roman"/>
          <w:kern w:val="0"/>
        </w:rPr>
        <w:t>用软纸包裹</w:t>
      </w:r>
      <w:r>
        <w:rPr>
          <w:rFonts w:hint="eastAsia" w:ascii="Times New Roman" w:hAnsi="Times New Roman"/>
          <w:kern w:val="0"/>
        </w:rPr>
        <w:t>，</w:t>
      </w:r>
      <w:r>
        <w:rPr>
          <w:rFonts w:ascii="Times New Roman" w:hAnsi="Times New Roman"/>
          <w:kern w:val="0"/>
        </w:rPr>
        <w:t>然后套上硬质纸筒。每扎切花在基部捆扎。切花</w:t>
      </w:r>
      <w:r>
        <w:rPr>
          <w:rFonts w:hint="eastAsia" w:ascii="Times New Roman" w:hAnsi="Times New Roman"/>
          <w:kern w:val="0"/>
        </w:rPr>
        <w:t>应</w:t>
      </w:r>
      <w:r>
        <w:rPr>
          <w:rFonts w:ascii="Times New Roman" w:hAnsi="Times New Roman"/>
          <w:kern w:val="0"/>
        </w:rPr>
        <w:t>分层反向叠放箱中，</w:t>
      </w:r>
      <w:r>
        <w:rPr>
          <w:rFonts w:hint="eastAsia" w:ascii="Times New Roman" w:hAnsi="Times New Roman"/>
          <w:kern w:val="0"/>
        </w:rPr>
        <w:t>确保</w:t>
      </w:r>
      <w:r>
        <w:rPr>
          <w:rFonts w:ascii="Times New Roman" w:hAnsi="Times New Roman"/>
          <w:kern w:val="0"/>
        </w:rPr>
        <w:t>花朵朝</w:t>
      </w:r>
      <w:r>
        <w:rPr>
          <w:rFonts w:hint="eastAsia" w:ascii="Times New Roman" w:hAnsi="Times New Roman"/>
          <w:kern w:val="0"/>
        </w:rPr>
        <w:t>向外部</w:t>
      </w:r>
      <w:r>
        <w:rPr>
          <w:rFonts w:ascii="Times New Roman" w:hAnsi="Times New Roman"/>
          <w:kern w:val="0"/>
        </w:rPr>
        <w:t>，</w:t>
      </w:r>
      <w:r>
        <w:rPr>
          <w:rFonts w:hint="eastAsia" w:ascii="Times New Roman" w:hAnsi="Times New Roman"/>
          <w:kern w:val="0"/>
        </w:rPr>
        <w:t>保持与</w:t>
      </w:r>
      <w:r>
        <w:rPr>
          <w:rFonts w:ascii="Times New Roman" w:hAnsi="Times New Roman"/>
          <w:kern w:val="0"/>
        </w:rPr>
        <w:t>纸箱边距</w:t>
      </w:r>
      <w:r>
        <w:rPr>
          <w:rFonts w:hint="eastAsia" w:ascii="Times New Roman" w:hAnsi="Times New Roman"/>
          <w:kern w:val="0"/>
        </w:rPr>
        <w:t>的</w:t>
      </w:r>
      <w:r>
        <w:rPr>
          <w:rFonts w:ascii="Times New Roman" w:hAnsi="Times New Roman"/>
          <w:kern w:val="0"/>
        </w:rPr>
        <w:t>最小距离</w:t>
      </w:r>
      <w:r>
        <w:rPr>
          <w:rFonts w:hint="eastAsia" w:ascii="Times New Roman" w:hAnsi="Times New Roman"/>
          <w:kern w:val="0"/>
        </w:rPr>
        <w:t>不低于</w:t>
      </w:r>
      <w:r>
        <w:rPr>
          <w:rFonts w:ascii="Times New Roman" w:hAnsi="Times New Roman"/>
          <w:kern w:val="0"/>
        </w:rPr>
        <w:t>5</w:t>
      </w:r>
      <w:r>
        <w:rPr>
          <w:rFonts w:hint="eastAsia" w:ascii="Times New Roman" w:hAnsi="Times New Roman"/>
          <w:kern w:val="0"/>
        </w:rPr>
        <w:t xml:space="preserve"> </w:t>
      </w:r>
      <w:r>
        <w:rPr>
          <w:rFonts w:ascii="Times New Roman" w:hAnsi="Times New Roman"/>
          <w:kern w:val="0"/>
        </w:rPr>
        <w:t>cm，</w:t>
      </w:r>
      <w:r>
        <w:rPr>
          <w:rFonts w:hint="eastAsia" w:ascii="Times New Roman" w:hAnsi="Times New Roman"/>
          <w:kern w:val="0"/>
        </w:rPr>
        <w:t>随后</w:t>
      </w:r>
      <w:r>
        <w:rPr>
          <w:rFonts w:ascii="Times New Roman" w:hAnsi="Times New Roman"/>
          <w:kern w:val="0"/>
        </w:rPr>
        <w:t>用胶带</w:t>
      </w:r>
      <w:r>
        <w:rPr>
          <w:rFonts w:hint="eastAsia" w:ascii="Times New Roman" w:hAnsi="Times New Roman"/>
          <w:kern w:val="0"/>
        </w:rPr>
        <w:t>进行</w:t>
      </w:r>
      <w:r>
        <w:rPr>
          <w:rFonts w:ascii="Times New Roman" w:hAnsi="Times New Roman"/>
          <w:kern w:val="0"/>
        </w:rPr>
        <w:t>固定，最后封</w:t>
      </w:r>
      <w:r>
        <w:rPr>
          <w:rFonts w:hint="eastAsia" w:ascii="Times New Roman" w:hAnsi="Times New Roman"/>
          <w:kern w:val="0"/>
        </w:rPr>
        <w:t>上箱</w:t>
      </w:r>
      <w:r>
        <w:rPr>
          <w:rFonts w:ascii="Times New Roman" w:hAnsi="Times New Roman"/>
          <w:kern w:val="0"/>
        </w:rPr>
        <w:t>盖。</w:t>
      </w:r>
    </w:p>
    <w:p w14:paraId="40A10D64">
      <w:pPr>
        <w:pStyle w:val="109"/>
        <w:spacing w:before="156" w:after="156"/>
      </w:pPr>
      <w:r>
        <w:rPr>
          <w:rFonts w:hint="eastAsia"/>
        </w:rPr>
        <w:t>标识</w:t>
      </w:r>
    </w:p>
    <w:p w14:paraId="27C0666B">
      <w:pPr>
        <w:autoSpaceDE w:val="0"/>
        <w:autoSpaceDN w:val="0"/>
        <w:spacing w:line="240" w:lineRule="auto"/>
        <w:ind w:firstLine="420"/>
        <w:rPr>
          <w:rFonts w:ascii="黑体" w:cs="黑体"/>
          <w:color w:val="000000"/>
        </w:rPr>
      </w:pPr>
      <w:r>
        <w:rPr>
          <w:rFonts w:hint="eastAsia" w:ascii="黑体" w:cs="黑体"/>
          <w:color w:val="000000"/>
        </w:rPr>
        <w:t>应注明切花种类、品种名、花色、等级、装箱容量、生产单位、产地、采切时间。标识标明方式按</w:t>
      </w:r>
      <w:r>
        <w:rPr>
          <w:rFonts w:ascii="Times New Roman" w:hAnsi="Times New Roman"/>
          <w:color w:val="000000"/>
        </w:rPr>
        <w:t>GB/T 23897</w:t>
      </w:r>
      <w:r>
        <w:rPr>
          <w:rFonts w:hint="eastAsia" w:ascii="黑体" w:cs="黑体"/>
          <w:color w:val="000000"/>
        </w:rPr>
        <w:t>规定执行。</w:t>
      </w:r>
    </w:p>
    <w:p w14:paraId="1275361A">
      <w:pPr>
        <w:pStyle w:val="109"/>
        <w:spacing w:before="156" w:after="156"/>
      </w:pPr>
      <w:r>
        <w:rPr>
          <w:rFonts w:hint="eastAsia"/>
        </w:rPr>
        <w:t>运输</w:t>
      </w:r>
    </w:p>
    <w:p w14:paraId="7C060F54">
      <w:pPr>
        <w:autoSpaceDE w:val="0"/>
        <w:autoSpaceDN w:val="0"/>
        <w:spacing w:line="240" w:lineRule="auto"/>
        <w:ind w:firstLine="420"/>
        <w:rPr>
          <w:rFonts w:ascii="黑体" w:cs="黑体"/>
          <w:color w:val="000000"/>
        </w:rPr>
      </w:pPr>
      <w:r>
        <w:rPr>
          <w:rFonts w:hint="eastAsia" w:ascii="黑体" w:cs="黑体"/>
          <w:color w:val="000000"/>
        </w:rPr>
        <w:t>运输方式与要求按</w:t>
      </w:r>
      <w:r>
        <w:rPr>
          <w:rFonts w:ascii="Times New Roman" w:hAnsi="Times New Roman"/>
          <w:color w:val="000000"/>
        </w:rPr>
        <w:t>GB/T 23897</w:t>
      </w:r>
      <w:r>
        <w:rPr>
          <w:rFonts w:hint="eastAsia" w:ascii="黑体" w:cs="黑体"/>
          <w:color w:val="000000"/>
        </w:rPr>
        <w:t>规定执行。</w:t>
      </w:r>
    </w:p>
    <w:p w14:paraId="52089B01">
      <w:pPr>
        <w:pStyle w:val="108"/>
        <w:spacing w:before="312" w:after="312"/>
      </w:pPr>
      <w:r>
        <w:rPr>
          <w:rFonts w:hint="eastAsia"/>
        </w:rPr>
        <w:t>档案记录</w:t>
      </w:r>
    </w:p>
    <w:p w14:paraId="0FC3CCEA">
      <w:pPr>
        <w:autoSpaceDE w:val="0"/>
        <w:autoSpaceDN w:val="0"/>
        <w:spacing w:line="240" w:lineRule="auto"/>
        <w:ind w:firstLine="420"/>
        <w:rPr>
          <w:rFonts w:ascii="黑体" w:cs="黑体"/>
        </w:rPr>
      </w:pPr>
      <w:r>
        <w:rPr>
          <w:rFonts w:hint="eastAsia" w:ascii="黑体" w:cs="黑体"/>
        </w:rPr>
        <w:t>建立完整、真实的生产管理档案，包括天气状况、肥水管理、整形修剪、切花采收等环节，并由业务领导和技术人员审查签字，长期保存。</w:t>
      </w:r>
    </w:p>
    <w:p w14:paraId="0D24FAD0">
      <w:pPr>
        <w:pStyle w:val="109"/>
        <w:numPr>
          <w:ilvl w:val="2"/>
          <w:numId w:val="0"/>
        </w:numPr>
        <w:spacing w:before="156" w:after="156"/>
        <w:outlineLvl w:val="9"/>
      </w:pPr>
      <w:r>
        <w:rPr>
          <w:rFonts w:hint="eastAsia"/>
        </w:rPr>
        <w:br w:type="page"/>
      </w:r>
    </w:p>
    <w:p w14:paraId="4FACCB9C">
      <w:pPr>
        <w:spacing w:line="360" w:lineRule="auto"/>
        <w:jc w:val="center"/>
        <w:outlineLvl w:val="0"/>
        <w:rPr>
          <w:rFonts w:ascii="黑体" w:hAnsi="黑体" w:eastAsia="黑体" w:cs="黑体"/>
          <w:color w:val="000000"/>
        </w:rPr>
      </w:pPr>
      <w:r>
        <w:rPr>
          <w:rFonts w:hint="eastAsia" w:ascii="黑体" w:hAnsi="黑体" w:eastAsia="黑体" w:cs="黑体"/>
          <w:color w:val="000000"/>
        </w:rPr>
        <w:t>附  录  A</w:t>
      </w:r>
    </w:p>
    <w:p w14:paraId="56B7C01A">
      <w:pPr>
        <w:spacing w:line="360" w:lineRule="auto"/>
        <w:jc w:val="center"/>
        <w:rPr>
          <w:rFonts w:ascii="黑体" w:hAnsi="黑体" w:eastAsia="黑体" w:cs="黑体"/>
        </w:rPr>
      </w:pPr>
      <w:r>
        <w:rPr>
          <w:rFonts w:hint="eastAsia" w:ascii="黑体" w:hAnsi="黑体" w:eastAsia="黑体" w:cs="黑体"/>
        </w:rPr>
        <w:t>（资料性）</w:t>
      </w:r>
    </w:p>
    <w:p w14:paraId="633CFA2E">
      <w:pPr>
        <w:spacing w:line="360" w:lineRule="auto"/>
        <w:jc w:val="center"/>
        <w:rPr>
          <w:rFonts w:ascii="黑体" w:hAnsi="黑体" w:eastAsia="黑体" w:cs="黑体"/>
        </w:rPr>
      </w:pPr>
      <w:r>
        <w:rPr>
          <w:rFonts w:hint="eastAsia" w:ascii="黑体" w:hAnsi="黑体" w:eastAsia="黑体" w:cs="黑体"/>
          <w:color w:val="000000"/>
        </w:rPr>
        <w:t>江苏地区适宜作切花的杜鹃花</w:t>
      </w:r>
    </w:p>
    <w:p w14:paraId="0CA117BC">
      <w:pPr>
        <w:spacing w:line="360" w:lineRule="auto"/>
        <w:ind w:firstLine="420" w:firstLineChars="200"/>
        <w:rPr>
          <w:rFonts w:ascii="宋体" w:hAnsi="宋体" w:cs="宋体"/>
        </w:rPr>
      </w:pPr>
      <w:r>
        <w:rPr>
          <w:rFonts w:hint="eastAsia" w:ascii="宋体" w:hAnsi="宋体" w:cs="宋体"/>
        </w:rPr>
        <w:t>江苏地区适宜作切花的杜鹃花种类见表A.1。</w:t>
      </w:r>
    </w:p>
    <w:p w14:paraId="73F34EDD">
      <w:pPr>
        <w:adjustRightInd/>
        <w:spacing w:line="240" w:lineRule="auto"/>
        <w:jc w:val="center"/>
        <w:rPr>
          <w:rFonts w:ascii="黑体" w:hAnsi="黑体" w:eastAsia="黑体" w:cs="黑体"/>
          <w:color w:val="000000"/>
        </w:rPr>
      </w:pPr>
      <w:r>
        <w:rPr>
          <w:rFonts w:hint="eastAsia" w:ascii="黑体" w:hAnsi="黑体" w:eastAsia="黑体" w:cs="黑体"/>
          <w:color w:val="000000"/>
        </w:rPr>
        <w:t>表</w:t>
      </w:r>
      <w:r>
        <w:rPr>
          <w:rFonts w:hint="eastAsia" w:ascii="黑体" w:hAnsi="黑体" w:eastAsia="黑体" w:cs="黑体"/>
        </w:rPr>
        <w:t>A.1</w:t>
      </w:r>
      <w:r>
        <w:rPr>
          <w:rFonts w:hint="eastAsia" w:ascii="黑体" w:hAnsi="黑体" w:eastAsia="黑体" w:cs="黑体"/>
          <w:color w:val="FF0000"/>
        </w:rPr>
        <w:t xml:space="preserve"> </w:t>
      </w:r>
      <w:r>
        <w:rPr>
          <w:rFonts w:hint="eastAsia" w:ascii="黑体" w:hAnsi="黑体" w:eastAsia="黑体" w:cs="黑体"/>
          <w:color w:val="000000"/>
        </w:rPr>
        <w:t>江苏地区适宜作切花的杜鹃花</w:t>
      </w:r>
    </w:p>
    <w:tbl>
      <w:tblPr>
        <w:tblStyle w:val="29"/>
        <w:tblpPr w:leftFromText="180" w:rightFromText="180" w:vertAnchor="text" w:horzAnchor="page" w:tblpXSpec="center" w:tblpY="99"/>
        <w:tblOverlap w:val="never"/>
        <w:tblW w:w="4998"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228"/>
        <w:gridCol w:w="953"/>
        <w:gridCol w:w="7385"/>
      </w:tblGrid>
      <w:tr w14:paraId="3E53FB0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140" w:type="pct"/>
            <w:gridSpan w:val="2"/>
            <w:tcBorders>
              <w:top w:val="single" w:color="auto" w:sz="8" w:space="0"/>
              <w:left w:val="single" w:color="auto" w:sz="8" w:space="0"/>
              <w:bottom w:val="single" w:color="auto" w:sz="8" w:space="0"/>
              <w:right w:val="single" w:color="auto" w:sz="6" w:space="0"/>
            </w:tcBorders>
            <w:vAlign w:val="center"/>
          </w:tcPr>
          <w:p w14:paraId="5E1CE9EB">
            <w:pPr>
              <w:spacing w:line="240" w:lineRule="auto"/>
              <w:jc w:val="center"/>
              <w:rPr>
                <w:rFonts w:ascii="Times New Roman" w:hAnsi="Times New Roman"/>
                <w:color w:val="000000"/>
                <w:sz w:val="18"/>
                <w:szCs w:val="18"/>
              </w:rPr>
            </w:pPr>
            <w:bookmarkStart w:id="46" w:name="_Toc13027"/>
            <w:r>
              <w:rPr>
                <w:rFonts w:hint="eastAsia" w:ascii="Times New Roman" w:hAnsi="Times New Roman"/>
                <w:color w:val="000000"/>
                <w:sz w:val="18"/>
                <w:szCs w:val="18"/>
              </w:rPr>
              <w:t>分类</w:t>
            </w:r>
          </w:p>
        </w:tc>
        <w:tc>
          <w:tcPr>
            <w:tcW w:w="3859" w:type="pct"/>
            <w:tcBorders>
              <w:top w:val="single" w:color="auto" w:sz="8" w:space="0"/>
              <w:left w:val="single" w:color="auto" w:sz="6" w:space="0"/>
              <w:bottom w:val="single" w:color="auto" w:sz="8" w:space="0"/>
              <w:right w:val="single" w:color="auto" w:sz="8" w:space="0"/>
            </w:tcBorders>
            <w:vAlign w:val="center"/>
          </w:tcPr>
          <w:p w14:paraId="6130C14F">
            <w:pPr>
              <w:spacing w:line="240" w:lineRule="auto"/>
              <w:jc w:val="center"/>
              <w:rPr>
                <w:rFonts w:ascii="Times New Roman" w:hAnsi="Times New Roman"/>
                <w:color w:val="000000"/>
                <w:sz w:val="18"/>
                <w:szCs w:val="18"/>
              </w:rPr>
            </w:pPr>
            <w:r>
              <w:rPr>
                <w:rFonts w:hint="eastAsia" w:ascii="Times New Roman" w:hAnsi="Times New Roman"/>
                <w:color w:val="000000"/>
                <w:sz w:val="18"/>
                <w:szCs w:val="18"/>
              </w:rPr>
              <w:t>种（品种）名</w:t>
            </w:r>
          </w:p>
        </w:tc>
      </w:tr>
      <w:tr w14:paraId="1178FF2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0" w:hRule="atLeast"/>
          <w:jc w:val="center"/>
        </w:trPr>
        <w:tc>
          <w:tcPr>
            <w:tcW w:w="1140" w:type="pct"/>
            <w:gridSpan w:val="2"/>
            <w:tcBorders>
              <w:top w:val="single" w:color="auto" w:sz="8" w:space="0"/>
              <w:left w:val="single" w:color="auto" w:sz="8" w:space="0"/>
              <w:bottom w:val="single" w:color="auto" w:sz="6" w:space="0"/>
              <w:right w:val="single" w:color="auto" w:sz="6" w:space="0"/>
            </w:tcBorders>
            <w:vAlign w:val="center"/>
          </w:tcPr>
          <w:p w14:paraId="024A515A">
            <w:pPr>
              <w:spacing w:line="240" w:lineRule="auto"/>
              <w:jc w:val="center"/>
              <w:rPr>
                <w:rFonts w:ascii="Times New Roman" w:hAnsi="Times New Roman"/>
                <w:color w:val="000000"/>
                <w:sz w:val="18"/>
                <w:szCs w:val="18"/>
              </w:rPr>
            </w:pPr>
            <w:r>
              <w:rPr>
                <w:rFonts w:hint="eastAsia" w:ascii="Times New Roman" w:hAnsi="Times New Roman"/>
                <w:color w:val="000000"/>
                <w:sz w:val="18"/>
                <w:szCs w:val="18"/>
              </w:rPr>
              <w:t>江苏分布的原生种</w:t>
            </w:r>
          </w:p>
        </w:tc>
        <w:tc>
          <w:tcPr>
            <w:tcW w:w="3859" w:type="pct"/>
            <w:tcBorders>
              <w:top w:val="single" w:color="auto" w:sz="8" w:space="0"/>
              <w:left w:val="single" w:color="auto" w:sz="6" w:space="0"/>
              <w:bottom w:val="single" w:color="auto" w:sz="6" w:space="0"/>
              <w:right w:val="single" w:color="auto" w:sz="8" w:space="0"/>
            </w:tcBorders>
            <w:vAlign w:val="center"/>
          </w:tcPr>
          <w:p w14:paraId="0851B231">
            <w:pPr>
              <w:spacing w:line="240" w:lineRule="auto"/>
              <w:jc w:val="center"/>
              <w:rPr>
                <w:rFonts w:ascii="Times New Roman" w:hAnsi="Times New Roman"/>
                <w:color w:val="000000"/>
                <w:sz w:val="18"/>
                <w:szCs w:val="18"/>
              </w:rPr>
            </w:pPr>
            <w:r>
              <w:rPr>
                <w:rFonts w:hint="eastAsia" w:ascii="Times New Roman" w:hAnsi="Times New Roman"/>
                <w:color w:val="000000"/>
                <w:sz w:val="18"/>
                <w:szCs w:val="18"/>
              </w:rPr>
              <w:t>映山红、马银花、满山红、羊踯躅、迎红杜鹃、白花杜鹃</w:t>
            </w:r>
          </w:p>
        </w:tc>
      </w:tr>
      <w:tr w14:paraId="2FDA222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0" w:hRule="atLeast"/>
          <w:jc w:val="center"/>
        </w:trPr>
        <w:tc>
          <w:tcPr>
            <w:tcW w:w="1140" w:type="pct"/>
            <w:gridSpan w:val="2"/>
            <w:tcBorders>
              <w:top w:val="single" w:color="auto" w:sz="6" w:space="0"/>
              <w:left w:val="single" w:color="auto" w:sz="8" w:space="0"/>
              <w:bottom w:val="single" w:color="auto" w:sz="6" w:space="0"/>
              <w:right w:val="single" w:color="auto" w:sz="6" w:space="0"/>
            </w:tcBorders>
            <w:vAlign w:val="center"/>
          </w:tcPr>
          <w:p w14:paraId="11A1FEF7">
            <w:pPr>
              <w:spacing w:line="240" w:lineRule="auto"/>
              <w:jc w:val="center"/>
              <w:rPr>
                <w:rFonts w:ascii="Times New Roman" w:hAnsi="Times New Roman"/>
                <w:color w:val="000000"/>
                <w:sz w:val="18"/>
                <w:szCs w:val="18"/>
              </w:rPr>
            </w:pPr>
            <w:r>
              <w:rPr>
                <w:rFonts w:hint="eastAsia" w:ascii="Times New Roman" w:hAnsi="Times New Roman"/>
                <w:color w:val="000000"/>
                <w:sz w:val="18"/>
                <w:szCs w:val="18"/>
              </w:rPr>
              <w:t>江苏常见的栽培种</w:t>
            </w:r>
          </w:p>
        </w:tc>
        <w:tc>
          <w:tcPr>
            <w:tcW w:w="3859" w:type="pct"/>
            <w:tcBorders>
              <w:top w:val="single" w:color="auto" w:sz="6" w:space="0"/>
              <w:left w:val="single" w:color="auto" w:sz="6" w:space="0"/>
              <w:bottom w:val="single" w:color="auto" w:sz="6" w:space="0"/>
              <w:right w:val="single" w:color="auto" w:sz="8" w:space="0"/>
            </w:tcBorders>
            <w:vAlign w:val="center"/>
          </w:tcPr>
          <w:p w14:paraId="48A1AF35">
            <w:pPr>
              <w:spacing w:line="240" w:lineRule="auto"/>
              <w:jc w:val="center"/>
              <w:rPr>
                <w:rFonts w:ascii="Times New Roman" w:hAnsi="Times New Roman"/>
                <w:color w:val="000000"/>
                <w:sz w:val="18"/>
                <w:szCs w:val="18"/>
              </w:rPr>
            </w:pPr>
            <w:r>
              <w:rPr>
                <w:rFonts w:hint="eastAsia" w:ascii="Times New Roman" w:hAnsi="Times New Roman"/>
                <w:color w:val="000000"/>
                <w:sz w:val="18"/>
                <w:szCs w:val="18"/>
              </w:rPr>
              <w:t>锦绣杜鹃</w:t>
            </w:r>
          </w:p>
        </w:tc>
      </w:tr>
      <w:tr w14:paraId="7CA1543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3" w:hRule="atLeast"/>
          <w:jc w:val="center"/>
        </w:trPr>
        <w:tc>
          <w:tcPr>
            <w:tcW w:w="642" w:type="pct"/>
            <w:vMerge w:val="restart"/>
            <w:tcBorders>
              <w:top w:val="single" w:color="auto" w:sz="6" w:space="0"/>
              <w:left w:val="single" w:color="auto" w:sz="8" w:space="0"/>
              <w:bottom w:val="single" w:color="auto" w:sz="6" w:space="0"/>
              <w:right w:val="single" w:color="auto" w:sz="6" w:space="0"/>
            </w:tcBorders>
            <w:vAlign w:val="center"/>
          </w:tcPr>
          <w:p w14:paraId="477D4EFE">
            <w:pPr>
              <w:spacing w:line="240" w:lineRule="auto"/>
              <w:jc w:val="center"/>
              <w:rPr>
                <w:rFonts w:ascii="Times New Roman" w:hAnsi="Times New Roman"/>
                <w:color w:val="000000"/>
                <w:sz w:val="18"/>
                <w:szCs w:val="18"/>
              </w:rPr>
            </w:pPr>
            <w:r>
              <w:rPr>
                <w:rFonts w:hint="eastAsia" w:ascii="Times New Roman" w:hAnsi="Times New Roman"/>
                <w:color w:val="000000"/>
                <w:sz w:val="18"/>
                <w:szCs w:val="18"/>
              </w:rPr>
              <w:t>园艺品种</w:t>
            </w:r>
          </w:p>
        </w:tc>
        <w:tc>
          <w:tcPr>
            <w:tcW w:w="498" w:type="pct"/>
            <w:tcBorders>
              <w:top w:val="single" w:color="auto" w:sz="6" w:space="0"/>
              <w:left w:val="single" w:color="auto" w:sz="6" w:space="0"/>
              <w:bottom w:val="single" w:color="auto" w:sz="6" w:space="0"/>
              <w:right w:val="single" w:color="auto" w:sz="6" w:space="0"/>
            </w:tcBorders>
            <w:vAlign w:val="center"/>
          </w:tcPr>
          <w:p w14:paraId="6011E877">
            <w:pPr>
              <w:spacing w:line="240" w:lineRule="auto"/>
              <w:jc w:val="center"/>
              <w:rPr>
                <w:rFonts w:ascii="Times New Roman" w:hAnsi="Times New Roman"/>
                <w:color w:val="000000"/>
                <w:sz w:val="18"/>
                <w:szCs w:val="18"/>
              </w:rPr>
            </w:pPr>
            <w:r>
              <w:rPr>
                <w:rFonts w:hint="eastAsia" w:ascii="Times New Roman" w:hAnsi="Times New Roman"/>
                <w:color w:val="000000"/>
                <w:sz w:val="18"/>
                <w:szCs w:val="18"/>
              </w:rPr>
              <w:t>东鹃</w:t>
            </w:r>
          </w:p>
        </w:tc>
        <w:tc>
          <w:tcPr>
            <w:tcW w:w="3859" w:type="pct"/>
            <w:tcBorders>
              <w:top w:val="single" w:color="auto" w:sz="6" w:space="0"/>
              <w:left w:val="single" w:color="auto" w:sz="6" w:space="0"/>
              <w:bottom w:val="single" w:color="auto" w:sz="6" w:space="0"/>
              <w:right w:val="single" w:color="auto" w:sz="8" w:space="0"/>
            </w:tcBorders>
            <w:vAlign w:val="center"/>
          </w:tcPr>
          <w:p w14:paraId="4AA3E38C">
            <w:pPr>
              <w:spacing w:line="240" w:lineRule="auto"/>
              <w:outlineLvl w:val="0"/>
              <w:rPr>
                <w:rFonts w:ascii="Times New Roman" w:hAnsi="Times New Roman"/>
                <w:color w:val="000000"/>
                <w:sz w:val="18"/>
                <w:szCs w:val="18"/>
              </w:rPr>
            </w:pPr>
            <w:r>
              <w:rPr>
                <w:rFonts w:hint="eastAsia" w:ascii="Times New Roman" w:hAnsi="Times New Roman"/>
                <w:color w:val="000000"/>
                <w:sz w:val="18"/>
                <w:szCs w:val="18"/>
              </w:rPr>
              <w:t>‘白屏幅’、‘粉珊瑚’、‘红珊瑚’、‘大青莲’、‘小青莲’、‘红月’、‘蓝樱’、‘琉球红’、‘状元红’、‘大鸳鸯锦’、‘粉高月’、‘胭脂蜜’、‘红元宝’、‘粉团圆’、‘白团圆’、‘红元宝’、‘粉元宝’、‘烈火’等</w:t>
            </w:r>
          </w:p>
        </w:tc>
      </w:tr>
      <w:tr w14:paraId="0510291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7" w:hRule="atLeast"/>
          <w:jc w:val="center"/>
        </w:trPr>
        <w:tc>
          <w:tcPr>
            <w:tcW w:w="642" w:type="pct"/>
            <w:vMerge w:val="continue"/>
            <w:tcBorders>
              <w:top w:val="single" w:color="auto" w:sz="6" w:space="0"/>
              <w:left w:val="single" w:color="auto" w:sz="8" w:space="0"/>
              <w:bottom w:val="single" w:color="auto" w:sz="8" w:space="0"/>
              <w:right w:val="single" w:color="auto" w:sz="6" w:space="0"/>
            </w:tcBorders>
            <w:vAlign w:val="center"/>
          </w:tcPr>
          <w:p w14:paraId="61A9D1E9">
            <w:pPr>
              <w:spacing w:line="240" w:lineRule="auto"/>
              <w:jc w:val="center"/>
              <w:rPr>
                <w:rFonts w:ascii="Times New Roman" w:hAnsi="Times New Roman"/>
                <w:color w:val="000000"/>
                <w:sz w:val="18"/>
                <w:szCs w:val="18"/>
              </w:rPr>
            </w:pPr>
          </w:p>
        </w:tc>
        <w:tc>
          <w:tcPr>
            <w:tcW w:w="498" w:type="pct"/>
            <w:tcBorders>
              <w:top w:val="single" w:color="auto" w:sz="6" w:space="0"/>
              <w:left w:val="single" w:color="auto" w:sz="6" w:space="0"/>
              <w:bottom w:val="single" w:color="auto" w:sz="8" w:space="0"/>
              <w:right w:val="single" w:color="auto" w:sz="6" w:space="0"/>
            </w:tcBorders>
            <w:vAlign w:val="center"/>
          </w:tcPr>
          <w:p w14:paraId="377A1234">
            <w:pPr>
              <w:spacing w:line="240" w:lineRule="auto"/>
              <w:jc w:val="center"/>
              <w:rPr>
                <w:rFonts w:ascii="Times New Roman" w:hAnsi="Times New Roman"/>
                <w:color w:val="000000"/>
                <w:sz w:val="18"/>
                <w:szCs w:val="18"/>
              </w:rPr>
            </w:pPr>
            <w:r>
              <w:rPr>
                <w:rFonts w:hint="eastAsia" w:ascii="Times New Roman" w:hAnsi="Times New Roman"/>
                <w:color w:val="000000"/>
                <w:sz w:val="18"/>
                <w:szCs w:val="18"/>
              </w:rPr>
              <w:t>毛鹃</w:t>
            </w:r>
          </w:p>
        </w:tc>
        <w:tc>
          <w:tcPr>
            <w:tcW w:w="3859" w:type="pct"/>
            <w:tcBorders>
              <w:top w:val="single" w:color="auto" w:sz="6" w:space="0"/>
              <w:left w:val="single" w:color="auto" w:sz="6" w:space="0"/>
              <w:bottom w:val="single" w:color="auto" w:sz="8" w:space="0"/>
              <w:right w:val="single" w:color="auto" w:sz="8" w:space="0"/>
            </w:tcBorders>
            <w:vAlign w:val="center"/>
          </w:tcPr>
          <w:p w14:paraId="545BADF2">
            <w:pPr>
              <w:spacing w:line="240" w:lineRule="auto"/>
              <w:rPr>
                <w:rFonts w:ascii="Times New Roman" w:hAnsi="Times New Roman"/>
                <w:color w:val="000000"/>
                <w:sz w:val="18"/>
                <w:szCs w:val="18"/>
              </w:rPr>
            </w:pPr>
            <w:r>
              <w:rPr>
                <w:rFonts w:hint="eastAsia" w:ascii="Times New Roman" w:hAnsi="Times New Roman"/>
                <w:color w:val="000000"/>
                <w:sz w:val="18"/>
                <w:szCs w:val="18"/>
              </w:rPr>
              <w:t>‘玉蝴蝶’、‘紫蝴蝶’、‘白蝴蝶’、‘玉玲’、‘玫瑰琉球红’等</w:t>
            </w:r>
          </w:p>
        </w:tc>
      </w:tr>
    </w:tbl>
    <w:p w14:paraId="375E16DE">
      <w:pPr>
        <w:spacing w:line="240" w:lineRule="auto"/>
        <w:jc w:val="center"/>
        <w:outlineLvl w:val="0"/>
        <w:rPr>
          <w:rFonts w:ascii="黑体" w:hAnsi="黑体" w:eastAsia="黑体" w:cs="黑体"/>
        </w:rPr>
      </w:pPr>
      <w:r>
        <w:rPr>
          <w:rFonts w:hint="eastAsia" w:ascii="黑体" w:hAnsi="黑体" w:eastAsia="黑体" w:cs="黑体"/>
        </w:rPr>
        <w:br w:type="page"/>
      </w:r>
      <w:r>
        <w:rPr>
          <w:rFonts w:hint="eastAsia" w:ascii="黑体" w:hAnsi="黑体" w:eastAsia="黑体" w:cs="黑体"/>
        </w:rPr>
        <w:t xml:space="preserve">附  录  </w:t>
      </w:r>
      <w:bookmarkEnd w:id="46"/>
      <w:r>
        <w:rPr>
          <w:rFonts w:hint="eastAsia" w:ascii="黑体" w:hAnsi="黑体" w:eastAsia="黑体" w:cs="黑体"/>
        </w:rPr>
        <w:t>B</w:t>
      </w:r>
    </w:p>
    <w:p w14:paraId="1E028209">
      <w:pPr>
        <w:spacing w:line="240" w:lineRule="auto"/>
        <w:jc w:val="center"/>
        <w:rPr>
          <w:rFonts w:ascii="黑体" w:hAnsi="黑体" w:eastAsia="黑体" w:cs="黑体"/>
        </w:rPr>
      </w:pPr>
      <w:bookmarkStart w:id="47" w:name="_Toc22741"/>
      <w:r>
        <w:rPr>
          <w:rFonts w:hint="eastAsia" w:ascii="黑体" w:hAnsi="黑体" w:eastAsia="黑体" w:cs="黑体"/>
        </w:rPr>
        <w:t>（资料性）</w:t>
      </w:r>
      <w:bookmarkEnd w:id="47"/>
    </w:p>
    <w:p w14:paraId="05F3FD26">
      <w:pPr>
        <w:spacing w:line="240" w:lineRule="auto"/>
        <w:jc w:val="center"/>
        <w:rPr>
          <w:rFonts w:hint="eastAsia" w:ascii="黑体" w:hAnsi="黑体" w:eastAsia="黑体" w:cs="黑体"/>
        </w:rPr>
      </w:pPr>
      <w:r>
        <w:rPr>
          <w:rFonts w:hint="eastAsia" w:ascii="黑体" w:hAnsi="黑体" w:eastAsia="黑体" w:cs="黑体"/>
        </w:rPr>
        <w:t>切花杜鹃主要病虫害防治方法</w:t>
      </w:r>
    </w:p>
    <w:p w14:paraId="314A6FCD">
      <w:pPr>
        <w:spacing w:line="240" w:lineRule="auto"/>
        <w:jc w:val="center"/>
        <w:rPr>
          <w:rFonts w:ascii="黑体" w:hAnsi="黑体" w:eastAsia="黑体" w:cs="黑体"/>
        </w:rPr>
      </w:pPr>
    </w:p>
    <w:p w14:paraId="4E4B31AA">
      <w:pPr>
        <w:spacing w:line="360" w:lineRule="auto"/>
        <w:ind w:firstLine="420" w:firstLineChars="200"/>
        <w:rPr>
          <w:rFonts w:ascii="Times New Roman" w:hAnsi="Times New Roman"/>
        </w:rPr>
      </w:pPr>
      <w:r>
        <w:rPr>
          <w:rFonts w:ascii="Times New Roman" w:hAnsi="Times New Roman"/>
        </w:rPr>
        <w:t>切花杜鹃生产中主要病虫害</w:t>
      </w:r>
      <w:r>
        <w:rPr>
          <w:rFonts w:hint="eastAsia" w:ascii="Times New Roman" w:hAnsi="Times New Roman"/>
        </w:rPr>
        <w:t>种类及</w:t>
      </w:r>
      <w:r>
        <w:rPr>
          <w:rFonts w:ascii="Times New Roman" w:hAnsi="Times New Roman"/>
        </w:rPr>
        <w:t>防治方法见表</w:t>
      </w:r>
      <w:r>
        <w:rPr>
          <w:rFonts w:hint="eastAsia" w:ascii="宋体" w:hAnsi="宋体" w:cs="宋体"/>
        </w:rPr>
        <w:t>B.1</w:t>
      </w:r>
      <w:r>
        <w:rPr>
          <w:rFonts w:hint="eastAsia" w:ascii="Times New Roman" w:hAnsi="Times New Roman"/>
        </w:rPr>
        <w:t>。</w:t>
      </w:r>
    </w:p>
    <w:p w14:paraId="3E7C1792">
      <w:pPr>
        <w:spacing w:line="240" w:lineRule="auto"/>
        <w:jc w:val="center"/>
        <w:rPr>
          <w:rFonts w:ascii="Times New Roman" w:hAnsi="Times New Roman" w:eastAsia="黑体"/>
        </w:rPr>
      </w:pPr>
      <w:bookmarkStart w:id="48" w:name="_Toc24421"/>
      <w:r>
        <w:rPr>
          <w:rFonts w:hint="eastAsia" w:ascii="黑体" w:hAnsi="黑体" w:eastAsia="黑体" w:cs="黑体"/>
        </w:rPr>
        <w:t>表B.1 切花杜鹃主要病虫害防治</w:t>
      </w:r>
      <w:bookmarkEnd w:id="48"/>
      <w:r>
        <w:rPr>
          <w:rFonts w:hint="eastAsia" w:ascii="黑体" w:hAnsi="黑体" w:eastAsia="黑体" w:cs="黑体"/>
        </w:rPr>
        <w:t>方法</w:t>
      </w:r>
    </w:p>
    <w:tbl>
      <w:tblPr>
        <w:tblStyle w:val="29"/>
        <w:tblW w:w="4994"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677"/>
        <w:gridCol w:w="1256"/>
        <w:gridCol w:w="3824"/>
        <w:gridCol w:w="3802"/>
      </w:tblGrid>
      <w:tr w14:paraId="0EB28F7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011" w:type="pct"/>
            <w:gridSpan w:val="2"/>
            <w:tcBorders>
              <w:top w:val="single" w:color="auto" w:sz="8" w:space="0"/>
              <w:left w:val="single" w:color="auto" w:sz="8" w:space="0"/>
              <w:bottom w:val="single" w:color="auto" w:sz="8" w:space="0"/>
              <w:right w:val="single" w:color="auto" w:sz="6" w:space="0"/>
            </w:tcBorders>
            <w:vAlign w:val="center"/>
          </w:tcPr>
          <w:p w14:paraId="45D729B0">
            <w:pPr>
              <w:spacing w:line="240" w:lineRule="auto"/>
              <w:jc w:val="center"/>
              <w:rPr>
                <w:rFonts w:ascii="Times New Roman" w:hAnsi="Times New Roman"/>
                <w:sz w:val="18"/>
                <w:szCs w:val="18"/>
              </w:rPr>
            </w:pPr>
            <w:r>
              <w:rPr>
                <w:rFonts w:ascii="Times New Roman" w:hAnsi="Times New Roman"/>
                <w:sz w:val="18"/>
                <w:szCs w:val="18"/>
              </w:rPr>
              <w:t>名称</w:t>
            </w:r>
          </w:p>
        </w:tc>
        <w:tc>
          <w:tcPr>
            <w:tcW w:w="2000" w:type="pct"/>
            <w:tcBorders>
              <w:top w:val="single" w:color="auto" w:sz="8" w:space="0"/>
              <w:left w:val="single" w:color="auto" w:sz="6" w:space="0"/>
              <w:bottom w:val="single" w:color="auto" w:sz="8" w:space="0"/>
              <w:right w:val="single" w:color="auto" w:sz="6" w:space="0"/>
            </w:tcBorders>
            <w:vAlign w:val="center"/>
          </w:tcPr>
          <w:p w14:paraId="6CF3A433">
            <w:pPr>
              <w:spacing w:line="240" w:lineRule="auto"/>
              <w:jc w:val="center"/>
              <w:rPr>
                <w:rFonts w:ascii="Times New Roman" w:hAnsi="Times New Roman"/>
                <w:sz w:val="18"/>
                <w:szCs w:val="18"/>
              </w:rPr>
            </w:pPr>
            <w:r>
              <w:rPr>
                <w:rFonts w:ascii="Times New Roman" w:hAnsi="Times New Roman"/>
                <w:sz w:val="18"/>
                <w:szCs w:val="18"/>
              </w:rPr>
              <w:t>主要症状</w:t>
            </w:r>
          </w:p>
        </w:tc>
        <w:tc>
          <w:tcPr>
            <w:tcW w:w="1988" w:type="pct"/>
            <w:tcBorders>
              <w:top w:val="single" w:color="auto" w:sz="8" w:space="0"/>
              <w:left w:val="single" w:color="auto" w:sz="6" w:space="0"/>
              <w:bottom w:val="single" w:color="auto" w:sz="8" w:space="0"/>
              <w:right w:val="single" w:color="auto" w:sz="8" w:space="0"/>
            </w:tcBorders>
            <w:vAlign w:val="center"/>
          </w:tcPr>
          <w:p w14:paraId="6247B8E5">
            <w:pPr>
              <w:spacing w:line="240" w:lineRule="auto"/>
              <w:jc w:val="center"/>
              <w:rPr>
                <w:rFonts w:ascii="Times New Roman" w:hAnsi="Times New Roman"/>
                <w:sz w:val="18"/>
                <w:szCs w:val="18"/>
              </w:rPr>
            </w:pPr>
            <w:r>
              <w:rPr>
                <w:rFonts w:ascii="Times New Roman" w:hAnsi="Times New Roman"/>
                <w:sz w:val="18"/>
                <w:szCs w:val="18"/>
              </w:rPr>
              <w:t>防治方法</w:t>
            </w:r>
          </w:p>
        </w:tc>
      </w:tr>
      <w:tr w14:paraId="6445383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354" w:type="pct"/>
            <w:vMerge w:val="restart"/>
            <w:tcBorders>
              <w:top w:val="single" w:color="auto" w:sz="8" w:space="0"/>
              <w:left w:val="single" w:color="auto" w:sz="8" w:space="0"/>
              <w:right w:val="single" w:color="auto" w:sz="6" w:space="0"/>
            </w:tcBorders>
            <w:vAlign w:val="center"/>
          </w:tcPr>
          <w:p w14:paraId="4EA8EF8A">
            <w:pPr>
              <w:spacing w:line="240" w:lineRule="auto"/>
              <w:jc w:val="center"/>
              <w:rPr>
                <w:rFonts w:ascii="Times New Roman" w:hAnsi="Times New Roman"/>
                <w:sz w:val="18"/>
                <w:szCs w:val="18"/>
              </w:rPr>
            </w:pPr>
            <w:r>
              <w:rPr>
                <w:rFonts w:hint="eastAsia" w:ascii="Times New Roman" w:hAnsi="Times New Roman"/>
                <w:sz w:val="18"/>
                <w:szCs w:val="18"/>
              </w:rPr>
              <w:t>病害</w:t>
            </w:r>
          </w:p>
        </w:tc>
        <w:tc>
          <w:tcPr>
            <w:tcW w:w="656" w:type="pct"/>
            <w:tcBorders>
              <w:top w:val="single" w:color="auto" w:sz="8" w:space="0"/>
              <w:left w:val="single" w:color="auto" w:sz="8" w:space="0"/>
              <w:bottom w:val="single" w:color="auto" w:sz="6" w:space="0"/>
              <w:right w:val="single" w:color="auto" w:sz="6" w:space="0"/>
            </w:tcBorders>
            <w:shd w:val="clear" w:color="auto" w:fill="auto"/>
            <w:vAlign w:val="center"/>
          </w:tcPr>
          <w:p w14:paraId="5BD3E4E7">
            <w:pPr>
              <w:spacing w:line="240" w:lineRule="auto"/>
              <w:jc w:val="center"/>
              <w:rPr>
                <w:rFonts w:ascii="Times New Roman" w:hAnsi="Times New Roman"/>
                <w:sz w:val="18"/>
                <w:szCs w:val="18"/>
              </w:rPr>
            </w:pPr>
            <w:r>
              <w:rPr>
                <w:rFonts w:hint="eastAsia" w:ascii="Times New Roman" w:hAnsi="Times New Roman"/>
                <w:sz w:val="18"/>
                <w:szCs w:val="18"/>
              </w:rPr>
              <w:t>白粉病</w:t>
            </w:r>
          </w:p>
        </w:tc>
        <w:tc>
          <w:tcPr>
            <w:tcW w:w="2000" w:type="pct"/>
            <w:tcBorders>
              <w:top w:val="single" w:color="auto" w:sz="8" w:space="0"/>
              <w:left w:val="single" w:color="auto" w:sz="6" w:space="0"/>
              <w:bottom w:val="single" w:color="auto" w:sz="6" w:space="0"/>
              <w:right w:val="single" w:color="auto" w:sz="6" w:space="0"/>
            </w:tcBorders>
            <w:shd w:val="clear" w:color="auto" w:fill="auto"/>
            <w:vAlign w:val="center"/>
          </w:tcPr>
          <w:p w14:paraId="303A5987">
            <w:pPr>
              <w:spacing w:line="240" w:lineRule="auto"/>
              <w:ind w:firstLine="180" w:firstLineChars="100"/>
              <w:rPr>
                <w:rFonts w:ascii="Times New Roman" w:hAnsi="Times New Roman"/>
                <w:sz w:val="18"/>
                <w:szCs w:val="18"/>
              </w:rPr>
            </w:pPr>
            <w:r>
              <w:rPr>
                <w:rFonts w:hint="eastAsia" w:ascii="Times New Roman" w:hAnsi="Times New Roman"/>
                <w:sz w:val="18"/>
                <w:szCs w:val="18"/>
              </w:rPr>
              <w:t>主要危害叶片和嫩枝。发病时叶面布满白色粉状菌丝。病叶皱缩不平，向背卷曲，严重时，萎缩干枯，直至整株死亡</w:t>
            </w:r>
          </w:p>
        </w:tc>
        <w:tc>
          <w:tcPr>
            <w:tcW w:w="1988" w:type="pct"/>
            <w:tcBorders>
              <w:top w:val="single" w:color="auto" w:sz="8" w:space="0"/>
              <w:left w:val="single" w:color="auto" w:sz="6" w:space="0"/>
              <w:bottom w:val="single" w:color="auto" w:sz="6" w:space="0"/>
              <w:right w:val="single" w:color="auto" w:sz="8" w:space="0"/>
            </w:tcBorders>
            <w:shd w:val="clear" w:color="auto" w:fill="auto"/>
            <w:vAlign w:val="center"/>
          </w:tcPr>
          <w:p w14:paraId="5334CF5E">
            <w:pPr>
              <w:spacing w:line="240" w:lineRule="auto"/>
              <w:ind w:firstLine="180" w:firstLineChars="100"/>
              <w:rPr>
                <w:rFonts w:ascii="Times New Roman" w:hAnsi="Times New Roman"/>
                <w:sz w:val="18"/>
                <w:szCs w:val="18"/>
              </w:rPr>
            </w:pPr>
            <w:r>
              <w:rPr>
                <w:rFonts w:hint="eastAsia" w:ascii="Times New Roman" w:hAnsi="Times New Roman"/>
                <w:sz w:val="18"/>
                <w:szCs w:val="18"/>
              </w:rPr>
              <w:t>发病初期适量喷施25%醚菌酯悬浮剂1000倍液、25%吡唑醚菌酯悬浮剂1500倍液。严重时可喷洒20%三唑酮乳油1200倍液，1次～2次</w:t>
            </w:r>
          </w:p>
        </w:tc>
      </w:tr>
      <w:tr w14:paraId="2193D41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354" w:type="pct"/>
            <w:vMerge w:val="continue"/>
            <w:tcBorders>
              <w:left w:val="single" w:color="auto" w:sz="8" w:space="0"/>
              <w:right w:val="single" w:color="auto" w:sz="6" w:space="0"/>
            </w:tcBorders>
            <w:vAlign w:val="center"/>
          </w:tcPr>
          <w:p w14:paraId="33D1B999">
            <w:pPr>
              <w:spacing w:line="240" w:lineRule="auto"/>
              <w:jc w:val="center"/>
              <w:rPr>
                <w:rFonts w:ascii="Times New Roman" w:hAnsi="Times New Roman"/>
                <w:sz w:val="18"/>
                <w:szCs w:val="18"/>
              </w:rPr>
            </w:pPr>
          </w:p>
        </w:tc>
        <w:tc>
          <w:tcPr>
            <w:tcW w:w="656" w:type="pct"/>
            <w:tcBorders>
              <w:top w:val="single" w:color="auto" w:sz="6" w:space="0"/>
              <w:left w:val="single" w:color="auto" w:sz="8" w:space="0"/>
              <w:bottom w:val="single" w:color="auto" w:sz="6" w:space="0"/>
              <w:right w:val="single" w:color="auto" w:sz="6" w:space="0"/>
            </w:tcBorders>
            <w:vAlign w:val="center"/>
          </w:tcPr>
          <w:p w14:paraId="5E9FE485">
            <w:pPr>
              <w:spacing w:line="240" w:lineRule="auto"/>
              <w:jc w:val="center"/>
              <w:rPr>
                <w:rFonts w:ascii="Times New Roman" w:hAnsi="Times New Roman"/>
                <w:sz w:val="18"/>
                <w:szCs w:val="18"/>
              </w:rPr>
            </w:pPr>
            <w:r>
              <w:rPr>
                <w:rFonts w:ascii="Times New Roman" w:hAnsi="Times New Roman"/>
                <w:sz w:val="18"/>
                <w:szCs w:val="18"/>
              </w:rPr>
              <w:t>根腐病</w:t>
            </w:r>
          </w:p>
        </w:tc>
        <w:tc>
          <w:tcPr>
            <w:tcW w:w="2000" w:type="pct"/>
            <w:tcBorders>
              <w:top w:val="single" w:color="auto" w:sz="6" w:space="0"/>
              <w:left w:val="single" w:color="auto" w:sz="6" w:space="0"/>
              <w:bottom w:val="single" w:color="auto" w:sz="6" w:space="0"/>
              <w:right w:val="single" w:color="auto" w:sz="6" w:space="0"/>
            </w:tcBorders>
            <w:vAlign w:val="center"/>
          </w:tcPr>
          <w:p w14:paraId="004689B6">
            <w:pPr>
              <w:spacing w:line="240" w:lineRule="auto"/>
              <w:ind w:firstLine="180" w:firstLineChars="100"/>
              <w:rPr>
                <w:rFonts w:ascii="Times New Roman" w:hAnsi="Times New Roman"/>
                <w:sz w:val="18"/>
                <w:szCs w:val="18"/>
              </w:rPr>
            </w:pPr>
            <w:r>
              <w:rPr>
                <w:rFonts w:hint="eastAsia" w:ascii="Times New Roman" w:hAnsi="Times New Roman"/>
                <w:sz w:val="18"/>
                <w:szCs w:val="18"/>
              </w:rPr>
              <w:t>主要危害根颈部及根系。根部存在水渍状褐斑，然后软腐、脱皮，木质变为灰白色，直至枯萎死亡</w:t>
            </w:r>
          </w:p>
        </w:tc>
        <w:tc>
          <w:tcPr>
            <w:tcW w:w="1988" w:type="pct"/>
            <w:tcBorders>
              <w:top w:val="single" w:color="auto" w:sz="6" w:space="0"/>
              <w:left w:val="single" w:color="auto" w:sz="6" w:space="0"/>
              <w:bottom w:val="single" w:color="auto" w:sz="6" w:space="0"/>
              <w:right w:val="single" w:color="auto" w:sz="8" w:space="0"/>
            </w:tcBorders>
            <w:vAlign w:val="center"/>
          </w:tcPr>
          <w:p w14:paraId="249EB4ED">
            <w:pPr>
              <w:tabs>
                <w:tab w:val="left" w:pos="0"/>
              </w:tabs>
              <w:spacing w:line="240" w:lineRule="auto"/>
              <w:ind w:firstLine="180" w:firstLineChars="100"/>
              <w:rPr>
                <w:rFonts w:ascii="Times New Roman" w:hAnsi="Times New Roman"/>
                <w:sz w:val="18"/>
                <w:szCs w:val="18"/>
              </w:rPr>
            </w:pPr>
            <w:r>
              <w:rPr>
                <w:rFonts w:hint="eastAsia" w:ascii="Times New Roman" w:hAnsi="Times New Roman"/>
                <w:sz w:val="18"/>
                <w:szCs w:val="18"/>
              </w:rPr>
              <w:t>种植时选择渗水性良好且肥沃的土壤；采用松树皮、硬木树皮等混合肥料为底肥，降低根腐病的发生概率。发病植株可用</w:t>
            </w:r>
            <w:r>
              <w:rPr>
                <w:rFonts w:ascii="Times New Roman" w:hAnsi="Times New Roman"/>
                <w:sz w:val="18"/>
                <w:szCs w:val="18"/>
              </w:rPr>
              <w:t>70%甲基托布津</w:t>
            </w:r>
            <w:r>
              <w:rPr>
                <w:rFonts w:hint="eastAsia" w:ascii="Times New Roman" w:hAnsi="Times New Roman"/>
                <w:sz w:val="18"/>
                <w:szCs w:val="18"/>
              </w:rPr>
              <w:t>800</w:t>
            </w:r>
            <w:r>
              <w:rPr>
                <w:rFonts w:hint="eastAsia" w:ascii="宋体" w:hAnsi="宋体" w:cs="宋体"/>
                <w:kern w:val="0"/>
                <w:sz w:val="18"/>
                <w:szCs w:val="18"/>
              </w:rPr>
              <w:t>～</w:t>
            </w:r>
            <w:r>
              <w:rPr>
                <w:rFonts w:hint="eastAsia" w:ascii="Times New Roman" w:hAnsi="Times New Roman"/>
                <w:sz w:val="18"/>
                <w:szCs w:val="18"/>
              </w:rPr>
              <w:t>1000倍液</w:t>
            </w:r>
            <w:r>
              <w:rPr>
                <w:rFonts w:ascii="Times New Roman" w:hAnsi="Times New Roman"/>
                <w:sz w:val="18"/>
                <w:szCs w:val="18"/>
              </w:rPr>
              <w:t>浇灌，每隔5</w:t>
            </w:r>
            <w:r>
              <w:rPr>
                <w:rFonts w:hint="eastAsia" w:ascii="Times New Roman" w:hAnsi="Times New Roman"/>
                <w:sz w:val="18"/>
                <w:szCs w:val="18"/>
              </w:rPr>
              <w:t xml:space="preserve"> </w:t>
            </w:r>
            <w:r>
              <w:rPr>
                <w:rFonts w:ascii="Times New Roman" w:hAnsi="Times New Roman"/>
                <w:sz w:val="18"/>
                <w:szCs w:val="18"/>
              </w:rPr>
              <w:t>d</w:t>
            </w:r>
            <w:r>
              <w:rPr>
                <w:rFonts w:hint="eastAsia" w:ascii="宋体" w:hAnsi="宋体" w:cs="宋体"/>
                <w:kern w:val="0"/>
                <w:sz w:val="18"/>
                <w:szCs w:val="18"/>
              </w:rPr>
              <w:t>～</w:t>
            </w:r>
            <w:r>
              <w:rPr>
                <w:rFonts w:ascii="Times New Roman" w:hAnsi="Times New Roman"/>
                <w:sz w:val="18"/>
                <w:szCs w:val="18"/>
              </w:rPr>
              <w:t>7</w:t>
            </w:r>
            <w:r>
              <w:rPr>
                <w:rFonts w:hint="eastAsia" w:ascii="Times New Roman" w:hAnsi="Times New Roman"/>
                <w:sz w:val="18"/>
                <w:szCs w:val="18"/>
              </w:rPr>
              <w:t xml:space="preserve"> </w:t>
            </w:r>
            <w:r>
              <w:rPr>
                <w:rFonts w:ascii="Times New Roman" w:hAnsi="Times New Roman"/>
                <w:sz w:val="18"/>
                <w:szCs w:val="18"/>
              </w:rPr>
              <w:t>d一次</w:t>
            </w:r>
          </w:p>
        </w:tc>
      </w:tr>
      <w:tr w14:paraId="4A0A84D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354" w:type="pct"/>
            <w:vMerge w:val="continue"/>
            <w:tcBorders>
              <w:left w:val="single" w:color="auto" w:sz="8" w:space="0"/>
              <w:right w:val="single" w:color="auto" w:sz="6" w:space="0"/>
            </w:tcBorders>
            <w:vAlign w:val="center"/>
          </w:tcPr>
          <w:p w14:paraId="525AA188">
            <w:pPr>
              <w:spacing w:line="240" w:lineRule="auto"/>
              <w:jc w:val="center"/>
              <w:rPr>
                <w:rFonts w:ascii="Times New Roman" w:hAnsi="Times New Roman"/>
                <w:sz w:val="18"/>
                <w:szCs w:val="18"/>
              </w:rPr>
            </w:pPr>
          </w:p>
        </w:tc>
        <w:tc>
          <w:tcPr>
            <w:tcW w:w="656" w:type="pct"/>
            <w:tcBorders>
              <w:top w:val="single" w:color="auto" w:sz="6" w:space="0"/>
              <w:left w:val="single" w:color="auto" w:sz="8" w:space="0"/>
              <w:bottom w:val="single" w:color="auto" w:sz="6" w:space="0"/>
              <w:right w:val="single" w:color="auto" w:sz="6" w:space="0"/>
            </w:tcBorders>
            <w:shd w:val="clear" w:color="auto" w:fill="auto"/>
            <w:vAlign w:val="center"/>
          </w:tcPr>
          <w:p w14:paraId="5DE2E024">
            <w:pPr>
              <w:spacing w:line="240" w:lineRule="auto"/>
              <w:jc w:val="center"/>
              <w:rPr>
                <w:rFonts w:ascii="Times New Roman" w:hAnsi="Times New Roman"/>
                <w:sz w:val="18"/>
                <w:szCs w:val="18"/>
              </w:rPr>
            </w:pPr>
            <w:r>
              <w:rPr>
                <w:rFonts w:hint="eastAsia" w:ascii="Times New Roman" w:hAnsi="Times New Roman"/>
                <w:sz w:val="18"/>
                <w:szCs w:val="18"/>
              </w:rPr>
              <w:t>褐</w:t>
            </w:r>
            <w:r>
              <w:rPr>
                <w:rFonts w:ascii="Times New Roman" w:hAnsi="Times New Roman"/>
                <w:sz w:val="18"/>
                <w:szCs w:val="18"/>
              </w:rPr>
              <w:t>斑病</w:t>
            </w:r>
          </w:p>
        </w:tc>
        <w:tc>
          <w:tcPr>
            <w:tcW w:w="2000" w:type="pct"/>
            <w:tcBorders>
              <w:top w:val="single" w:color="auto" w:sz="6" w:space="0"/>
              <w:left w:val="single" w:color="auto" w:sz="6" w:space="0"/>
              <w:bottom w:val="single" w:color="auto" w:sz="6" w:space="0"/>
              <w:right w:val="single" w:color="auto" w:sz="6" w:space="0"/>
            </w:tcBorders>
            <w:shd w:val="clear" w:color="auto" w:fill="auto"/>
            <w:vAlign w:val="center"/>
          </w:tcPr>
          <w:p w14:paraId="72B49758">
            <w:pPr>
              <w:spacing w:line="240" w:lineRule="auto"/>
              <w:ind w:firstLine="180" w:firstLineChars="100"/>
              <w:rPr>
                <w:rFonts w:ascii="Times New Roman" w:hAnsi="Times New Roman"/>
                <w:sz w:val="18"/>
                <w:szCs w:val="18"/>
              </w:rPr>
            </w:pPr>
            <w:r>
              <w:rPr>
                <w:rFonts w:ascii="Times New Roman" w:hAnsi="Times New Roman"/>
                <w:sz w:val="18"/>
                <w:szCs w:val="18"/>
              </w:rPr>
              <w:t>叶背</w:t>
            </w:r>
            <w:r>
              <w:rPr>
                <w:rFonts w:hint="eastAsia" w:ascii="Times New Roman" w:hAnsi="Times New Roman"/>
                <w:sz w:val="18"/>
                <w:szCs w:val="18"/>
              </w:rPr>
              <w:t>出现黄褐色或褐色</w:t>
            </w:r>
            <w:r>
              <w:rPr>
                <w:rFonts w:ascii="Times New Roman" w:hAnsi="Times New Roman"/>
                <w:sz w:val="18"/>
                <w:szCs w:val="18"/>
              </w:rPr>
              <w:t>病斑</w:t>
            </w:r>
            <w:r>
              <w:rPr>
                <w:rFonts w:hint="eastAsia" w:ascii="Times New Roman" w:hAnsi="Times New Roman"/>
                <w:sz w:val="18"/>
                <w:szCs w:val="18"/>
              </w:rPr>
              <w:t>，斑块中心为</w:t>
            </w:r>
            <w:r>
              <w:rPr>
                <w:rFonts w:ascii="Times New Roman" w:hAnsi="Times New Roman"/>
                <w:sz w:val="18"/>
                <w:szCs w:val="18"/>
              </w:rPr>
              <w:t>灰白色、浅褐色，</w:t>
            </w:r>
            <w:r>
              <w:rPr>
                <w:rFonts w:hint="eastAsia" w:ascii="Times New Roman" w:hAnsi="Times New Roman"/>
                <w:sz w:val="18"/>
                <w:szCs w:val="18"/>
              </w:rPr>
              <w:t>斑块</w:t>
            </w:r>
            <w:r>
              <w:rPr>
                <w:rFonts w:ascii="Times New Roman" w:hAnsi="Times New Roman"/>
                <w:sz w:val="18"/>
                <w:szCs w:val="18"/>
              </w:rPr>
              <w:t>边缘</w:t>
            </w:r>
            <w:r>
              <w:rPr>
                <w:rFonts w:hint="eastAsia" w:ascii="Times New Roman" w:hAnsi="Times New Roman"/>
                <w:sz w:val="18"/>
                <w:szCs w:val="18"/>
              </w:rPr>
              <w:t>为</w:t>
            </w:r>
            <w:r>
              <w:rPr>
                <w:rFonts w:ascii="Times New Roman" w:hAnsi="Times New Roman"/>
                <w:sz w:val="18"/>
                <w:szCs w:val="18"/>
              </w:rPr>
              <w:t>褐色</w:t>
            </w:r>
            <w:r>
              <w:rPr>
                <w:rFonts w:hint="eastAsia" w:ascii="Times New Roman" w:hAnsi="Times New Roman"/>
                <w:sz w:val="18"/>
                <w:szCs w:val="18"/>
              </w:rPr>
              <w:t>或深</w:t>
            </w:r>
            <w:r>
              <w:rPr>
                <w:rFonts w:ascii="Times New Roman" w:hAnsi="Times New Roman"/>
                <w:sz w:val="18"/>
                <w:szCs w:val="18"/>
              </w:rPr>
              <w:t>褐色</w:t>
            </w:r>
            <w:r>
              <w:rPr>
                <w:rFonts w:hint="eastAsia" w:ascii="Times New Roman" w:hAnsi="Times New Roman"/>
                <w:sz w:val="18"/>
                <w:szCs w:val="18"/>
              </w:rPr>
              <w:t>，严重时叶片枯萎脱落</w:t>
            </w:r>
          </w:p>
        </w:tc>
        <w:tc>
          <w:tcPr>
            <w:tcW w:w="1988" w:type="pct"/>
            <w:tcBorders>
              <w:top w:val="single" w:color="auto" w:sz="6" w:space="0"/>
              <w:left w:val="single" w:color="auto" w:sz="6" w:space="0"/>
              <w:bottom w:val="single" w:color="auto" w:sz="6" w:space="0"/>
              <w:right w:val="single" w:color="auto" w:sz="8" w:space="0"/>
            </w:tcBorders>
            <w:shd w:val="clear" w:color="auto" w:fill="auto"/>
            <w:vAlign w:val="center"/>
          </w:tcPr>
          <w:p w14:paraId="496C5CFC">
            <w:pPr>
              <w:spacing w:line="240" w:lineRule="auto"/>
              <w:ind w:firstLine="180" w:firstLineChars="100"/>
              <w:rPr>
                <w:rFonts w:ascii="Times New Roman" w:hAnsi="Times New Roman"/>
                <w:sz w:val="18"/>
                <w:szCs w:val="18"/>
              </w:rPr>
            </w:pPr>
            <w:r>
              <w:rPr>
                <w:rFonts w:ascii="Times New Roman" w:hAnsi="Times New Roman"/>
                <w:sz w:val="18"/>
                <w:szCs w:val="18"/>
              </w:rPr>
              <w:t>发病初期可选用50%多菌灵</w:t>
            </w:r>
            <w:r>
              <w:rPr>
                <w:rFonts w:hint="eastAsia" w:ascii="Times New Roman" w:hAnsi="Times New Roman"/>
                <w:sz w:val="18"/>
                <w:szCs w:val="18"/>
              </w:rPr>
              <w:t>可湿性粉剂</w:t>
            </w:r>
            <w:r>
              <w:rPr>
                <w:rFonts w:ascii="Times New Roman" w:hAnsi="Times New Roman"/>
                <w:sz w:val="18"/>
                <w:szCs w:val="18"/>
              </w:rPr>
              <w:t>500</w:t>
            </w:r>
            <w:r>
              <w:rPr>
                <w:rFonts w:hint="eastAsia" w:ascii="宋体" w:hAnsi="宋体" w:cs="宋体"/>
                <w:kern w:val="0"/>
                <w:sz w:val="18"/>
                <w:szCs w:val="18"/>
              </w:rPr>
              <w:t>～</w:t>
            </w:r>
            <w:r>
              <w:rPr>
                <w:rFonts w:ascii="Times New Roman" w:hAnsi="Times New Roman"/>
                <w:sz w:val="18"/>
                <w:szCs w:val="18"/>
              </w:rPr>
              <w:t>800倍液</w:t>
            </w:r>
            <w:r>
              <w:rPr>
                <w:rFonts w:hint="eastAsia" w:ascii="Times New Roman" w:hAnsi="Times New Roman"/>
                <w:sz w:val="18"/>
                <w:szCs w:val="18"/>
              </w:rPr>
              <w:t>或65</w:t>
            </w:r>
            <w:r>
              <w:rPr>
                <w:rFonts w:ascii="Times New Roman" w:hAnsi="Times New Roman"/>
                <w:sz w:val="18"/>
                <w:szCs w:val="18"/>
              </w:rPr>
              <w:t>%</w:t>
            </w:r>
            <w:r>
              <w:rPr>
                <w:rFonts w:hint="eastAsia" w:ascii="Times New Roman" w:hAnsi="Times New Roman"/>
                <w:sz w:val="18"/>
                <w:szCs w:val="18"/>
              </w:rPr>
              <w:t>代森锰锌可湿性粉剂600倍液</w:t>
            </w:r>
            <w:r>
              <w:rPr>
                <w:rFonts w:ascii="Times New Roman" w:hAnsi="Times New Roman"/>
                <w:sz w:val="18"/>
                <w:szCs w:val="18"/>
              </w:rPr>
              <w:t>进行喷洒防治，每</w:t>
            </w:r>
            <w:r>
              <w:rPr>
                <w:rFonts w:hint="eastAsia" w:ascii="Times New Roman" w:hAnsi="Times New Roman"/>
                <w:sz w:val="18"/>
                <w:szCs w:val="18"/>
              </w:rPr>
              <w:t>隔</w:t>
            </w:r>
            <w:r>
              <w:rPr>
                <w:rFonts w:ascii="Times New Roman" w:hAnsi="Times New Roman"/>
                <w:sz w:val="18"/>
                <w:szCs w:val="18"/>
              </w:rPr>
              <w:t>10</w:t>
            </w:r>
            <w:r>
              <w:rPr>
                <w:rFonts w:hint="eastAsia" w:ascii="Times New Roman" w:hAnsi="Times New Roman"/>
                <w:sz w:val="18"/>
                <w:szCs w:val="18"/>
              </w:rPr>
              <w:t xml:space="preserve"> d</w:t>
            </w:r>
            <w:r>
              <w:rPr>
                <w:rFonts w:hint="eastAsia" w:ascii="宋体" w:hAnsi="宋体" w:cs="宋体"/>
                <w:kern w:val="0"/>
                <w:sz w:val="18"/>
                <w:szCs w:val="18"/>
              </w:rPr>
              <w:t>～</w:t>
            </w:r>
            <w:r>
              <w:rPr>
                <w:rFonts w:ascii="Times New Roman" w:hAnsi="Times New Roman"/>
                <w:sz w:val="18"/>
                <w:szCs w:val="18"/>
              </w:rPr>
              <w:t>15</w:t>
            </w:r>
            <w:r>
              <w:rPr>
                <w:rFonts w:hint="eastAsia" w:ascii="Times New Roman" w:hAnsi="Times New Roman"/>
                <w:sz w:val="18"/>
                <w:szCs w:val="18"/>
              </w:rPr>
              <w:t xml:space="preserve"> </w:t>
            </w:r>
            <w:r>
              <w:rPr>
                <w:rFonts w:ascii="Times New Roman" w:hAnsi="Times New Roman"/>
                <w:sz w:val="18"/>
                <w:szCs w:val="18"/>
              </w:rPr>
              <w:t>d</w:t>
            </w:r>
            <w:r>
              <w:rPr>
                <w:rFonts w:hint="eastAsia" w:ascii="Times New Roman" w:hAnsi="Times New Roman"/>
                <w:sz w:val="18"/>
                <w:szCs w:val="18"/>
              </w:rPr>
              <w:t>用药1</w:t>
            </w:r>
            <w:r>
              <w:rPr>
                <w:rFonts w:ascii="Times New Roman" w:hAnsi="Times New Roman"/>
                <w:sz w:val="18"/>
                <w:szCs w:val="18"/>
              </w:rPr>
              <w:t>次，连续喷洒5</w:t>
            </w:r>
            <w:r>
              <w:rPr>
                <w:rFonts w:hint="eastAsia" w:ascii="Times New Roman" w:hAnsi="Times New Roman"/>
                <w:sz w:val="18"/>
                <w:szCs w:val="18"/>
              </w:rPr>
              <w:t>次</w:t>
            </w:r>
            <w:r>
              <w:rPr>
                <w:rFonts w:hint="eastAsia" w:ascii="宋体" w:hAnsi="宋体" w:cs="宋体"/>
                <w:kern w:val="0"/>
                <w:sz w:val="18"/>
                <w:szCs w:val="18"/>
              </w:rPr>
              <w:t>～</w:t>
            </w:r>
            <w:r>
              <w:rPr>
                <w:rFonts w:ascii="Times New Roman" w:hAnsi="Times New Roman"/>
                <w:sz w:val="18"/>
                <w:szCs w:val="18"/>
              </w:rPr>
              <w:t>6次</w:t>
            </w:r>
          </w:p>
        </w:tc>
      </w:tr>
      <w:tr w14:paraId="6979C3C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354" w:type="pct"/>
            <w:vMerge w:val="continue"/>
            <w:tcBorders>
              <w:left w:val="single" w:color="auto" w:sz="8" w:space="0"/>
              <w:bottom w:val="single" w:color="auto" w:sz="6" w:space="0"/>
              <w:right w:val="single" w:color="auto" w:sz="6" w:space="0"/>
            </w:tcBorders>
            <w:vAlign w:val="center"/>
          </w:tcPr>
          <w:p w14:paraId="04B3F49A">
            <w:pPr>
              <w:spacing w:line="240" w:lineRule="auto"/>
              <w:jc w:val="center"/>
              <w:rPr>
                <w:rFonts w:ascii="Times New Roman" w:hAnsi="Times New Roman"/>
                <w:sz w:val="18"/>
                <w:szCs w:val="18"/>
              </w:rPr>
            </w:pPr>
          </w:p>
        </w:tc>
        <w:tc>
          <w:tcPr>
            <w:tcW w:w="656" w:type="pct"/>
            <w:tcBorders>
              <w:top w:val="single" w:color="auto" w:sz="6" w:space="0"/>
              <w:left w:val="single" w:color="auto" w:sz="8" w:space="0"/>
              <w:bottom w:val="single" w:color="auto" w:sz="6" w:space="0"/>
              <w:right w:val="single" w:color="auto" w:sz="6" w:space="0"/>
            </w:tcBorders>
            <w:vAlign w:val="center"/>
          </w:tcPr>
          <w:p w14:paraId="40307F89">
            <w:pPr>
              <w:spacing w:line="240" w:lineRule="auto"/>
              <w:jc w:val="center"/>
              <w:rPr>
                <w:rFonts w:ascii="Times New Roman" w:hAnsi="Times New Roman"/>
                <w:sz w:val="18"/>
                <w:szCs w:val="18"/>
              </w:rPr>
            </w:pPr>
            <w:r>
              <w:rPr>
                <w:rFonts w:hint="eastAsia" w:ascii="Times New Roman" w:hAnsi="Times New Roman"/>
                <w:sz w:val="18"/>
                <w:szCs w:val="18"/>
              </w:rPr>
              <w:t>叶肿病</w:t>
            </w:r>
          </w:p>
        </w:tc>
        <w:tc>
          <w:tcPr>
            <w:tcW w:w="2000" w:type="pct"/>
            <w:tcBorders>
              <w:top w:val="single" w:color="auto" w:sz="6" w:space="0"/>
              <w:left w:val="single" w:color="auto" w:sz="6" w:space="0"/>
              <w:bottom w:val="single" w:color="auto" w:sz="6" w:space="0"/>
              <w:right w:val="single" w:color="auto" w:sz="6" w:space="0"/>
            </w:tcBorders>
            <w:vAlign w:val="center"/>
          </w:tcPr>
          <w:p w14:paraId="11F0B9AA">
            <w:pPr>
              <w:spacing w:line="240" w:lineRule="auto"/>
              <w:ind w:firstLine="180" w:firstLineChars="100"/>
              <w:rPr>
                <w:rFonts w:ascii="Times New Roman" w:hAnsi="Times New Roman"/>
                <w:sz w:val="18"/>
                <w:szCs w:val="18"/>
              </w:rPr>
            </w:pPr>
            <w:r>
              <w:rPr>
                <w:rFonts w:hint="eastAsia" w:ascii="Times New Roman" w:hAnsi="Times New Roman"/>
                <w:sz w:val="18"/>
                <w:szCs w:val="18"/>
              </w:rPr>
              <w:t>主要危害嫩叶和嫩芽。发病叶片出现饼状瘤子，表面覆盖厚厚的灰白色粉末，最后干枯脱落</w:t>
            </w:r>
          </w:p>
        </w:tc>
        <w:tc>
          <w:tcPr>
            <w:tcW w:w="1988" w:type="pct"/>
            <w:tcBorders>
              <w:top w:val="single" w:color="auto" w:sz="6" w:space="0"/>
              <w:left w:val="single" w:color="auto" w:sz="6" w:space="0"/>
              <w:bottom w:val="single" w:color="auto" w:sz="6" w:space="0"/>
              <w:right w:val="single" w:color="auto" w:sz="8" w:space="0"/>
            </w:tcBorders>
            <w:vAlign w:val="center"/>
          </w:tcPr>
          <w:p w14:paraId="43EC086A">
            <w:pPr>
              <w:tabs>
                <w:tab w:val="left" w:pos="0"/>
              </w:tabs>
              <w:spacing w:line="240" w:lineRule="auto"/>
              <w:ind w:firstLine="180" w:firstLineChars="100"/>
              <w:rPr>
                <w:rFonts w:ascii="Times New Roman" w:hAnsi="Times New Roman"/>
                <w:sz w:val="18"/>
                <w:szCs w:val="18"/>
              </w:rPr>
            </w:pPr>
            <w:r>
              <w:rPr>
                <w:rFonts w:hint="eastAsia" w:ascii="Times New Roman" w:hAnsi="Times New Roman"/>
                <w:sz w:val="18"/>
                <w:szCs w:val="18"/>
              </w:rPr>
              <w:t>在杜鹃花抽梢时，可用1%波尔多液保护剂进行防治；病害发生时，及时摘除感染叶片、剪去病梢。在落叶处喷施80%代森锌可湿性粉剂800倍液，每隔7 d～10 d喷洒1次，连续喷洒2次～3次</w:t>
            </w:r>
          </w:p>
        </w:tc>
      </w:tr>
      <w:tr w14:paraId="309814B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354" w:type="pct"/>
            <w:vMerge w:val="restart"/>
            <w:tcBorders>
              <w:top w:val="single" w:color="auto" w:sz="6" w:space="0"/>
              <w:left w:val="single" w:color="auto" w:sz="8" w:space="0"/>
              <w:right w:val="single" w:color="auto" w:sz="6" w:space="0"/>
            </w:tcBorders>
            <w:vAlign w:val="center"/>
          </w:tcPr>
          <w:p w14:paraId="1CC6A574">
            <w:pPr>
              <w:spacing w:line="240" w:lineRule="auto"/>
              <w:jc w:val="center"/>
              <w:rPr>
                <w:rFonts w:ascii="Times New Roman" w:hAnsi="Times New Roman"/>
                <w:sz w:val="18"/>
                <w:szCs w:val="18"/>
              </w:rPr>
            </w:pPr>
            <w:r>
              <w:rPr>
                <w:rFonts w:hint="eastAsia" w:ascii="Times New Roman" w:hAnsi="Times New Roman"/>
                <w:sz w:val="18"/>
                <w:szCs w:val="18"/>
              </w:rPr>
              <w:t>虫害</w:t>
            </w:r>
          </w:p>
        </w:tc>
        <w:tc>
          <w:tcPr>
            <w:tcW w:w="656" w:type="pct"/>
            <w:tcBorders>
              <w:top w:val="single" w:color="auto" w:sz="6" w:space="0"/>
              <w:left w:val="single" w:color="auto" w:sz="8" w:space="0"/>
              <w:bottom w:val="single" w:color="auto" w:sz="6" w:space="0"/>
              <w:right w:val="single" w:color="auto" w:sz="6" w:space="0"/>
            </w:tcBorders>
            <w:shd w:val="clear" w:color="auto" w:fill="auto"/>
            <w:vAlign w:val="center"/>
          </w:tcPr>
          <w:p w14:paraId="14594FA0">
            <w:pPr>
              <w:spacing w:line="240" w:lineRule="auto"/>
              <w:jc w:val="center"/>
              <w:rPr>
                <w:rFonts w:ascii="Times New Roman" w:hAnsi="Times New Roman"/>
                <w:sz w:val="18"/>
                <w:szCs w:val="18"/>
              </w:rPr>
            </w:pPr>
            <w:r>
              <w:rPr>
                <w:rFonts w:hint="eastAsia" w:ascii="Times New Roman" w:hAnsi="Times New Roman"/>
                <w:sz w:val="18"/>
                <w:szCs w:val="18"/>
              </w:rPr>
              <w:t>蚜虫</w:t>
            </w:r>
          </w:p>
        </w:tc>
        <w:tc>
          <w:tcPr>
            <w:tcW w:w="2000" w:type="pct"/>
            <w:tcBorders>
              <w:top w:val="single" w:color="auto" w:sz="6" w:space="0"/>
              <w:left w:val="single" w:color="auto" w:sz="6" w:space="0"/>
              <w:bottom w:val="single" w:color="auto" w:sz="6" w:space="0"/>
              <w:right w:val="single" w:color="auto" w:sz="6" w:space="0"/>
            </w:tcBorders>
            <w:vAlign w:val="center"/>
          </w:tcPr>
          <w:p w14:paraId="3ABB7E51">
            <w:pPr>
              <w:spacing w:line="240" w:lineRule="auto"/>
              <w:ind w:firstLine="180" w:firstLineChars="100"/>
              <w:rPr>
                <w:rFonts w:ascii="Times New Roman" w:hAnsi="Times New Roman"/>
                <w:sz w:val="18"/>
                <w:szCs w:val="18"/>
              </w:rPr>
            </w:pPr>
            <w:r>
              <w:rPr>
                <w:rFonts w:hint="eastAsia" w:ascii="Times New Roman" w:hAnsi="Times New Roman"/>
                <w:sz w:val="18"/>
                <w:szCs w:val="18"/>
              </w:rPr>
              <w:t>主要危害幼嫩枝条和叶片，发病时出现斑点、卷叶、皱缩、虫瘿、肿瘤等。植株生长缓慢停滞，严重时落叶甚至枯死</w:t>
            </w:r>
          </w:p>
        </w:tc>
        <w:tc>
          <w:tcPr>
            <w:tcW w:w="1988" w:type="pct"/>
            <w:tcBorders>
              <w:top w:val="single" w:color="auto" w:sz="6" w:space="0"/>
              <w:left w:val="single" w:color="auto" w:sz="6" w:space="0"/>
              <w:bottom w:val="single" w:color="auto" w:sz="6" w:space="0"/>
              <w:right w:val="single" w:color="auto" w:sz="8" w:space="0"/>
            </w:tcBorders>
            <w:vAlign w:val="center"/>
          </w:tcPr>
          <w:p w14:paraId="13491A5C">
            <w:pPr>
              <w:tabs>
                <w:tab w:val="left" w:pos="0"/>
              </w:tabs>
              <w:spacing w:line="240" w:lineRule="auto"/>
              <w:ind w:firstLine="180" w:firstLineChars="100"/>
              <w:rPr>
                <w:rFonts w:ascii="Times New Roman" w:hAnsi="Times New Roman"/>
                <w:sz w:val="18"/>
                <w:szCs w:val="18"/>
              </w:rPr>
            </w:pPr>
            <w:r>
              <w:rPr>
                <w:rFonts w:hint="eastAsia" w:ascii="Times New Roman" w:hAnsi="Times New Roman"/>
                <w:sz w:val="18"/>
                <w:szCs w:val="18"/>
              </w:rPr>
              <w:t>虫害较轻时，可使用手指或棉签人工清除蚜虫，或使用高压水流清洗植株。也可喷洒40%氧化乐果乳油1200倍液，3次～4次</w:t>
            </w:r>
          </w:p>
        </w:tc>
      </w:tr>
      <w:tr w14:paraId="233F1AB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354" w:type="pct"/>
            <w:vMerge w:val="continue"/>
            <w:tcBorders>
              <w:left w:val="single" w:color="auto" w:sz="8" w:space="0"/>
              <w:right w:val="single" w:color="auto" w:sz="6" w:space="0"/>
            </w:tcBorders>
            <w:vAlign w:val="center"/>
          </w:tcPr>
          <w:p w14:paraId="32DF33B8">
            <w:pPr>
              <w:spacing w:line="240" w:lineRule="auto"/>
              <w:jc w:val="center"/>
              <w:rPr>
                <w:rFonts w:ascii="Times New Roman" w:hAnsi="Times New Roman"/>
                <w:sz w:val="18"/>
                <w:szCs w:val="18"/>
              </w:rPr>
            </w:pPr>
          </w:p>
        </w:tc>
        <w:tc>
          <w:tcPr>
            <w:tcW w:w="656" w:type="pct"/>
            <w:tcBorders>
              <w:top w:val="single" w:color="auto" w:sz="6" w:space="0"/>
              <w:left w:val="single" w:color="auto" w:sz="8" w:space="0"/>
              <w:bottom w:val="single" w:color="auto" w:sz="6" w:space="0"/>
              <w:right w:val="single" w:color="auto" w:sz="6" w:space="0"/>
            </w:tcBorders>
            <w:shd w:val="clear" w:color="auto" w:fill="auto"/>
            <w:vAlign w:val="center"/>
          </w:tcPr>
          <w:p w14:paraId="3837E705">
            <w:pPr>
              <w:spacing w:line="240" w:lineRule="auto"/>
              <w:jc w:val="center"/>
              <w:rPr>
                <w:rFonts w:ascii="Times New Roman" w:hAnsi="Times New Roman"/>
                <w:sz w:val="18"/>
                <w:szCs w:val="18"/>
              </w:rPr>
            </w:pPr>
            <w:r>
              <w:rPr>
                <w:rFonts w:hint="eastAsia" w:ascii="Times New Roman" w:hAnsi="Times New Roman"/>
                <w:sz w:val="18"/>
                <w:szCs w:val="18"/>
              </w:rPr>
              <w:t>蓟马</w:t>
            </w:r>
          </w:p>
        </w:tc>
        <w:tc>
          <w:tcPr>
            <w:tcW w:w="2000" w:type="pct"/>
            <w:tcBorders>
              <w:top w:val="single" w:color="auto" w:sz="6" w:space="0"/>
              <w:left w:val="single" w:color="auto" w:sz="6" w:space="0"/>
              <w:bottom w:val="single" w:color="auto" w:sz="6" w:space="0"/>
              <w:right w:val="single" w:color="auto" w:sz="6" w:space="0"/>
            </w:tcBorders>
            <w:vAlign w:val="center"/>
          </w:tcPr>
          <w:p w14:paraId="403334F0">
            <w:pPr>
              <w:spacing w:line="240" w:lineRule="auto"/>
              <w:ind w:firstLine="180" w:firstLineChars="100"/>
              <w:rPr>
                <w:rFonts w:ascii="Times New Roman" w:hAnsi="Times New Roman"/>
                <w:sz w:val="18"/>
                <w:szCs w:val="18"/>
              </w:rPr>
            </w:pPr>
            <w:r>
              <w:rPr>
                <w:rFonts w:hint="eastAsia" w:ascii="Times New Roman" w:hAnsi="Times New Roman"/>
                <w:sz w:val="18"/>
                <w:szCs w:val="18"/>
              </w:rPr>
              <w:t>成虫、若虫主要取食幼嫩叶片。受害处表面呈灰白色或银灰色。严重时叶片正面纵向卷曲呈“饺子状”，叶硬脆，但不落</w:t>
            </w:r>
          </w:p>
        </w:tc>
        <w:tc>
          <w:tcPr>
            <w:tcW w:w="1988" w:type="pct"/>
            <w:tcBorders>
              <w:top w:val="single" w:color="auto" w:sz="6" w:space="0"/>
              <w:left w:val="single" w:color="auto" w:sz="6" w:space="0"/>
              <w:bottom w:val="single" w:color="auto" w:sz="6" w:space="0"/>
              <w:right w:val="single" w:color="auto" w:sz="8" w:space="0"/>
            </w:tcBorders>
            <w:vAlign w:val="center"/>
          </w:tcPr>
          <w:p w14:paraId="383B224E">
            <w:pPr>
              <w:spacing w:line="240" w:lineRule="auto"/>
              <w:ind w:firstLine="180" w:firstLineChars="100"/>
              <w:rPr>
                <w:rFonts w:ascii="Times New Roman" w:hAnsi="Times New Roman"/>
                <w:sz w:val="18"/>
                <w:szCs w:val="18"/>
              </w:rPr>
            </w:pPr>
            <w:r>
              <w:rPr>
                <w:rFonts w:hint="eastAsia" w:ascii="Times New Roman" w:hAnsi="Times New Roman"/>
                <w:sz w:val="18"/>
                <w:szCs w:val="18"/>
              </w:rPr>
              <w:t>可交替喷洒10%吡虫啉可湿性粉剂1000～2000倍液、20%啶虫脒可湿性粉剂6000倍液或25%噻虫嗪水分散粒剂4000倍液，每隔7 d～10 d喷洒1次，连续喷洒2次～3次</w:t>
            </w:r>
          </w:p>
        </w:tc>
      </w:tr>
      <w:tr w14:paraId="1CB0869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354" w:type="pct"/>
            <w:vMerge w:val="continue"/>
            <w:tcBorders>
              <w:left w:val="single" w:color="auto" w:sz="8" w:space="0"/>
              <w:right w:val="single" w:color="auto" w:sz="6" w:space="0"/>
            </w:tcBorders>
            <w:vAlign w:val="center"/>
          </w:tcPr>
          <w:p w14:paraId="262B7D2E">
            <w:pPr>
              <w:spacing w:line="240" w:lineRule="auto"/>
              <w:jc w:val="center"/>
              <w:rPr>
                <w:rFonts w:ascii="Times New Roman" w:hAnsi="Times New Roman"/>
                <w:sz w:val="18"/>
                <w:szCs w:val="18"/>
              </w:rPr>
            </w:pPr>
          </w:p>
        </w:tc>
        <w:tc>
          <w:tcPr>
            <w:tcW w:w="656" w:type="pct"/>
            <w:tcBorders>
              <w:top w:val="single" w:color="auto" w:sz="6" w:space="0"/>
              <w:left w:val="single" w:color="auto" w:sz="8" w:space="0"/>
              <w:bottom w:val="single" w:color="auto" w:sz="6" w:space="0"/>
              <w:right w:val="single" w:color="auto" w:sz="6" w:space="0"/>
            </w:tcBorders>
            <w:vAlign w:val="center"/>
          </w:tcPr>
          <w:p w14:paraId="6CF2DF79">
            <w:pPr>
              <w:spacing w:line="240" w:lineRule="auto"/>
              <w:jc w:val="center"/>
              <w:rPr>
                <w:rFonts w:ascii="Times New Roman" w:hAnsi="Times New Roman"/>
                <w:sz w:val="18"/>
                <w:szCs w:val="18"/>
              </w:rPr>
            </w:pPr>
            <w:r>
              <w:rPr>
                <w:rFonts w:hint="eastAsia" w:ascii="Times New Roman" w:hAnsi="Times New Roman"/>
                <w:sz w:val="18"/>
                <w:szCs w:val="18"/>
              </w:rPr>
              <w:t>杜鹃冠网蝽</w:t>
            </w:r>
          </w:p>
        </w:tc>
        <w:tc>
          <w:tcPr>
            <w:tcW w:w="2000" w:type="pct"/>
            <w:tcBorders>
              <w:top w:val="single" w:color="auto" w:sz="6" w:space="0"/>
              <w:left w:val="single" w:color="auto" w:sz="6" w:space="0"/>
              <w:bottom w:val="single" w:color="auto" w:sz="6" w:space="0"/>
              <w:right w:val="single" w:color="auto" w:sz="6" w:space="0"/>
            </w:tcBorders>
            <w:vAlign w:val="center"/>
          </w:tcPr>
          <w:p w14:paraId="33CC05B2">
            <w:pPr>
              <w:spacing w:line="240" w:lineRule="auto"/>
              <w:ind w:firstLine="180" w:firstLineChars="100"/>
              <w:rPr>
                <w:rFonts w:ascii="Times New Roman" w:hAnsi="Times New Roman"/>
                <w:sz w:val="18"/>
                <w:szCs w:val="18"/>
              </w:rPr>
            </w:pPr>
            <w:bookmarkStart w:id="49" w:name="OLE_LINK2"/>
            <w:r>
              <w:rPr>
                <w:rFonts w:hint="eastAsia" w:ascii="Times New Roman" w:hAnsi="Times New Roman"/>
                <w:sz w:val="18"/>
                <w:szCs w:val="18"/>
              </w:rPr>
              <w:t>成虫、若虫</w:t>
            </w:r>
            <w:bookmarkEnd w:id="49"/>
            <w:r>
              <w:rPr>
                <w:rFonts w:hint="eastAsia" w:ascii="Times New Roman" w:hAnsi="Times New Roman"/>
                <w:sz w:val="18"/>
                <w:szCs w:val="18"/>
              </w:rPr>
              <w:t>在叶背上吮吸汁液，并排泄粪便。叶正面</w:t>
            </w:r>
            <w:r>
              <w:rPr>
                <w:rFonts w:ascii="Times New Roman" w:hAnsi="Times New Roman"/>
                <w:sz w:val="18"/>
                <w:szCs w:val="18"/>
              </w:rPr>
              <w:t>出现</w:t>
            </w:r>
            <w:r>
              <w:rPr>
                <w:rFonts w:hint="eastAsia" w:ascii="Times New Roman" w:hAnsi="Times New Roman"/>
                <w:sz w:val="18"/>
                <w:szCs w:val="18"/>
              </w:rPr>
              <w:t>白</w:t>
            </w:r>
            <w:r>
              <w:rPr>
                <w:rFonts w:ascii="Times New Roman" w:hAnsi="Times New Roman"/>
                <w:sz w:val="18"/>
                <w:szCs w:val="18"/>
              </w:rPr>
              <w:t>色</w:t>
            </w:r>
            <w:r>
              <w:rPr>
                <w:rFonts w:hint="eastAsia" w:ascii="Times New Roman" w:hAnsi="Times New Roman"/>
                <w:sz w:val="18"/>
                <w:szCs w:val="18"/>
              </w:rPr>
              <w:t>褪色</w:t>
            </w:r>
            <w:r>
              <w:rPr>
                <w:rFonts w:ascii="Times New Roman" w:hAnsi="Times New Roman"/>
                <w:sz w:val="18"/>
                <w:szCs w:val="18"/>
              </w:rPr>
              <w:t>斑点，叶</w:t>
            </w:r>
            <w:r>
              <w:rPr>
                <w:rFonts w:hint="eastAsia" w:ascii="Times New Roman" w:hAnsi="Times New Roman"/>
                <w:sz w:val="18"/>
                <w:szCs w:val="18"/>
              </w:rPr>
              <w:t>背</w:t>
            </w:r>
            <w:r>
              <w:rPr>
                <w:rFonts w:ascii="Times New Roman" w:hAnsi="Times New Roman"/>
                <w:sz w:val="18"/>
                <w:szCs w:val="18"/>
              </w:rPr>
              <w:t>通常附有黑褐色虫粪和</w:t>
            </w:r>
            <w:r>
              <w:rPr>
                <w:rFonts w:hint="eastAsia" w:ascii="Times New Roman" w:hAnsi="Times New Roman"/>
                <w:sz w:val="18"/>
                <w:szCs w:val="18"/>
              </w:rPr>
              <w:t>蜕</w:t>
            </w:r>
            <w:r>
              <w:rPr>
                <w:rFonts w:ascii="Times New Roman" w:hAnsi="Times New Roman"/>
                <w:sz w:val="18"/>
                <w:szCs w:val="18"/>
              </w:rPr>
              <w:t>皮壳，引起叶片变白脱落</w:t>
            </w:r>
          </w:p>
        </w:tc>
        <w:tc>
          <w:tcPr>
            <w:tcW w:w="1988" w:type="pct"/>
            <w:tcBorders>
              <w:top w:val="single" w:color="auto" w:sz="6" w:space="0"/>
              <w:left w:val="single" w:color="auto" w:sz="6" w:space="0"/>
              <w:bottom w:val="single" w:color="auto" w:sz="6" w:space="0"/>
              <w:right w:val="single" w:color="auto" w:sz="8" w:space="0"/>
            </w:tcBorders>
            <w:vAlign w:val="center"/>
          </w:tcPr>
          <w:p w14:paraId="736143BA">
            <w:pPr>
              <w:tabs>
                <w:tab w:val="left" w:pos="0"/>
              </w:tabs>
              <w:spacing w:line="240" w:lineRule="auto"/>
              <w:ind w:firstLine="180" w:firstLineChars="100"/>
              <w:rPr>
                <w:rFonts w:ascii="Times New Roman" w:hAnsi="Times New Roman"/>
                <w:sz w:val="18"/>
                <w:szCs w:val="18"/>
              </w:rPr>
            </w:pPr>
            <w:r>
              <w:rPr>
                <w:rFonts w:hint="eastAsia" w:ascii="Times New Roman" w:hAnsi="Times New Roman"/>
                <w:sz w:val="18"/>
                <w:szCs w:val="18"/>
              </w:rPr>
              <w:t>可喷洒50%辛硫磷可湿性粉剂1000～2000倍液，或10%吡虫啉可湿性粉剂、20%氰戊菊酯乳油1000～1500倍液，每隔7 d～10 d喷洒1次，连续喷洒2次～3次</w:t>
            </w:r>
          </w:p>
        </w:tc>
      </w:tr>
      <w:tr w14:paraId="5B6C2FE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354" w:type="pct"/>
            <w:vMerge w:val="continue"/>
            <w:tcBorders>
              <w:left w:val="single" w:color="auto" w:sz="8" w:space="0"/>
              <w:bottom w:val="single" w:color="auto" w:sz="8" w:space="0"/>
              <w:right w:val="single" w:color="auto" w:sz="6" w:space="0"/>
            </w:tcBorders>
            <w:vAlign w:val="center"/>
          </w:tcPr>
          <w:p w14:paraId="42010CE1">
            <w:pPr>
              <w:spacing w:line="240" w:lineRule="auto"/>
              <w:jc w:val="center"/>
              <w:rPr>
                <w:rFonts w:ascii="Times New Roman" w:hAnsi="Times New Roman"/>
                <w:sz w:val="18"/>
                <w:szCs w:val="18"/>
              </w:rPr>
            </w:pPr>
          </w:p>
        </w:tc>
        <w:tc>
          <w:tcPr>
            <w:tcW w:w="656" w:type="pct"/>
            <w:tcBorders>
              <w:top w:val="single" w:color="auto" w:sz="6" w:space="0"/>
              <w:left w:val="single" w:color="auto" w:sz="8" w:space="0"/>
              <w:bottom w:val="single" w:color="auto" w:sz="8" w:space="0"/>
              <w:right w:val="single" w:color="auto" w:sz="6" w:space="0"/>
            </w:tcBorders>
            <w:vAlign w:val="center"/>
          </w:tcPr>
          <w:p w14:paraId="7BA2B5C9">
            <w:pPr>
              <w:spacing w:line="240" w:lineRule="auto"/>
              <w:jc w:val="center"/>
              <w:rPr>
                <w:rFonts w:ascii="Times New Roman" w:hAnsi="Times New Roman"/>
                <w:sz w:val="18"/>
                <w:szCs w:val="18"/>
              </w:rPr>
            </w:pPr>
            <w:r>
              <w:rPr>
                <w:rFonts w:hint="eastAsia" w:ascii="Times New Roman" w:hAnsi="Times New Roman"/>
                <w:sz w:val="18"/>
                <w:szCs w:val="18"/>
              </w:rPr>
              <w:t>红蜘蛛</w:t>
            </w:r>
          </w:p>
        </w:tc>
        <w:tc>
          <w:tcPr>
            <w:tcW w:w="2000" w:type="pct"/>
            <w:tcBorders>
              <w:top w:val="single" w:color="auto" w:sz="6" w:space="0"/>
              <w:left w:val="single" w:color="auto" w:sz="6" w:space="0"/>
              <w:bottom w:val="single" w:color="auto" w:sz="8" w:space="0"/>
              <w:right w:val="single" w:color="auto" w:sz="6" w:space="0"/>
            </w:tcBorders>
            <w:vAlign w:val="center"/>
          </w:tcPr>
          <w:p w14:paraId="6614D0DA">
            <w:pPr>
              <w:spacing w:line="240" w:lineRule="auto"/>
              <w:ind w:firstLine="180" w:firstLineChars="100"/>
              <w:rPr>
                <w:rFonts w:ascii="Times New Roman" w:hAnsi="Times New Roman"/>
                <w:sz w:val="18"/>
                <w:szCs w:val="18"/>
              </w:rPr>
            </w:pPr>
            <w:r>
              <w:rPr>
                <w:rFonts w:hint="eastAsia" w:ascii="Times New Roman" w:hAnsi="Times New Roman"/>
                <w:sz w:val="18"/>
                <w:szCs w:val="18"/>
              </w:rPr>
              <w:t>主要汲取植物的叶绿素和细胞液，在叶片上结网繁殖。病叶上出现黄斑、脱色、萎缩甚至干枯，严重时植物枯死</w:t>
            </w:r>
          </w:p>
        </w:tc>
        <w:tc>
          <w:tcPr>
            <w:tcW w:w="1988" w:type="pct"/>
            <w:tcBorders>
              <w:top w:val="single" w:color="auto" w:sz="6" w:space="0"/>
              <w:left w:val="single" w:color="auto" w:sz="6" w:space="0"/>
              <w:bottom w:val="single" w:color="auto" w:sz="8" w:space="0"/>
              <w:right w:val="single" w:color="auto" w:sz="8" w:space="0"/>
            </w:tcBorders>
            <w:vAlign w:val="center"/>
          </w:tcPr>
          <w:p w14:paraId="0134E085">
            <w:pPr>
              <w:tabs>
                <w:tab w:val="left" w:pos="0"/>
              </w:tabs>
              <w:spacing w:line="240" w:lineRule="auto"/>
              <w:ind w:firstLine="180" w:firstLineChars="100"/>
              <w:rPr>
                <w:rFonts w:ascii="Times New Roman" w:hAnsi="Times New Roman"/>
                <w:sz w:val="18"/>
                <w:szCs w:val="18"/>
              </w:rPr>
            </w:pPr>
            <w:r>
              <w:rPr>
                <w:rFonts w:hint="eastAsia" w:ascii="Times New Roman" w:hAnsi="Times New Roman"/>
                <w:sz w:val="18"/>
                <w:szCs w:val="18"/>
              </w:rPr>
              <w:t>虫害较轻时，及时清除并销毁感染叶片。喷洒45%的联肼·乙螨唑悬浮剂3000倍液，每隔7 d</w:t>
            </w:r>
            <w:r>
              <w:rPr>
                <w:rFonts w:hint="eastAsia" w:ascii="宋体" w:hAnsi="宋体" w:cs="宋体"/>
                <w:kern w:val="0"/>
                <w:sz w:val="18"/>
                <w:szCs w:val="18"/>
              </w:rPr>
              <w:t>～</w:t>
            </w:r>
            <w:r>
              <w:rPr>
                <w:rFonts w:hint="eastAsia" w:ascii="Times New Roman" w:hAnsi="Times New Roman"/>
                <w:sz w:val="18"/>
                <w:szCs w:val="18"/>
              </w:rPr>
              <w:t>10 d喷洒一次，连续喷洒3次</w:t>
            </w:r>
            <w:r>
              <w:rPr>
                <w:rFonts w:hint="eastAsia" w:ascii="宋体" w:hAnsi="宋体" w:cs="宋体"/>
                <w:kern w:val="0"/>
                <w:sz w:val="18"/>
                <w:szCs w:val="18"/>
              </w:rPr>
              <w:t>～</w:t>
            </w:r>
            <w:r>
              <w:rPr>
                <w:rFonts w:hint="eastAsia" w:ascii="Times New Roman" w:hAnsi="Times New Roman"/>
                <w:sz w:val="18"/>
                <w:szCs w:val="18"/>
              </w:rPr>
              <w:t>5次</w:t>
            </w:r>
          </w:p>
        </w:tc>
      </w:tr>
    </w:tbl>
    <w:p w14:paraId="3FB2024F">
      <w:pPr>
        <w:spacing w:line="240" w:lineRule="auto"/>
        <w:rPr>
          <w:rFonts w:ascii="黑体" w:hAnsi="黑体" w:eastAsia="黑体" w:cs="黑体"/>
        </w:rPr>
      </w:pPr>
    </w:p>
    <w:p w14:paraId="3AC5CB20">
      <w:r>
        <w:br w:type="page"/>
      </w:r>
    </w:p>
    <w:p w14:paraId="60404E67">
      <w:pPr>
        <w:jc w:val="center"/>
        <w:outlineLvl w:val="0"/>
      </w:pPr>
      <w:r>
        <w:rPr>
          <w:rFonts w:hint="eastAsia" w:ascii="黑体" w:hAnsi="黑体" w:eastAsia="黑体" w:cs="黑体"/>
        </w:rPr>
        <w:t>参考文献</w:t>
      </w:r>
    </w:p>
    <w:p w14:paraId="784DC0FA">
      <w:pPr>
        <w:rPr>
          <w:rFonts w:ascii="宋体" w:hAnsi="宋体" w:cs="宋体"/>
        </w:rPr>
      </w:pPr>
    </w:p>
    <w:p w14:paraId="58FDDCF3">
      <w:pPr>
        <w:numPr>
          <w:ilvl w:val="0"/>
          <w:numId w:val="32"/>
        </w:numPr>
        <w:adjustRightInd/>
        <w:ind w:firstLine="420" w:firstLineChars="200"/>
        <w:rPr>
          <w:rFonts w:ascii="宋体" w:hAnsi="宋体" w:cs="宋体"/>
        </w:rPr>
      </w:pPr>
      <w:r>
        <w:rPr>
          <w:rFonts w:hint="eastAsia" w:ascii="宋体" w:hAnsi="宋体" w:cs="宋体"/>
        </w:rPr>
        <w:t>周泓.杜鹃花品种资源多样性研究及品种分类体系构建[D].浙江大学,2012.</w:t>
      </w:r>
    </w:p>
    <w:p w14:paraId="38BF8EBC">
      <w:pPr>
        <w:numPr>
          <w:ilvl w:val="0"/>
          <w:numId w:val="32"/>
        </w:numPr>
        <w:adjustRightInd/>
        <w:ind w:firstLine="420" w:firstLineChars="200"/>
        <w:rPr>
          <w:rFonts w:ascii="宋体" w:hAnsi="宋体" w:cs="宋体"/>
        </w:rPr>
      </w:pPr>
      <w:r>
        <w:rPr>
          <w:rFonts w:hint="eastAsia" w:ascii="宋体" w:hAnsi="宋体" w:cs="宋体"/>
        </w:rPr>
        <w:t>耿兴敏,祝遵凌,李敏,等.</w:t>
      </w:r>
      <w:bookmarkStart w:id="50" w:name="OLE_LINK4"/>
      <w:r>
        <w:rPr>
          <w:rFonts w:hint="eastAsia" w:ascii="宋体" w:hAnsi="宋体" w:cs="宋体"/>
        </w:rPr>
        <w:t>杜鹃花属植物扦插繁殖研究进展</w:t>
      </w:r>
      <w:bookmarkEnd w:id="50"/>
      <w:r>
        <w:rPr>
          <w:rFonts w:hint="eastAsia" w:ascii="宋体" w:hAnsi="宋体" w:cs="宋体"/>
        </w:rPr>
        <w:t>[J].中国野生植物资源,2011,30(6):1-6.</w:t>
      </w:r>
    </w:p>
    <w:p w14:paraId="6C177BA0">
      <w:pPr>
        <w:numPr>
          <w:ilvl w:val="0"/>
          <w:numId w:val="32"/>
        </w:numPr>
        <w:adjustRightInd/>
        <w:ind w:firstLine="420" w:firstLineChars="200"/>
        <w:rPr>
          <w:rFonts w:ascii="宋体" w:hAnsi="宋体" w:cs="宋体"/>
        </w:rPr>
      </w:pPr>
      <w:r>
        <w:rPr>
          <w:rFonts w:hint="eastAsia" w:ascii="宋体" w:hAnsi="宋体" w:cs="宋体"/>
        </w:rPr>
        <w:t>李辉,苏家乐,李畅,等.高温胁迫下杜鹃不同品种的生理响应及其耐热性综合评价[J].江苏林业科技,2018,45(05):1-9+13.</w:t>
      </w:r>
    </w:p>
    <w:p w14:paraId="06F87FF4">
      <w:pPr>
        <w:numPr>
          <w:ilvl w:val="0"/>
          <w:numId w:val="32"/>
        </w:numPr>
        <w:adjustRightInd/>
        <w:ind w:firstLine="420" w:firstLineChars="200"/>
        <w:rPr>
          <w:rFonts w:ascii="宋体" w:hAnsi="宋体" w:cs="宋体"/>
        </w:rPr>
      </w:pPr>
      <w:r>
        <w:rPr>
          <w:rFonts w:hint="eastAsia" w:ascii="宋体" w:hAnsi="宋体" w:cs="宋体"/>
        </w:rPr>
        <w:t>韩冰.</w:t>
      </w:r>
      <w:bookmarkStart w:id="51" w:name="OLE_LINK6"/>
      <w:r>
        <w:rPr>
          <w:rFonts w:hint="eastAsia" w:ascii="宋体" w:hAnsi="宋体" w:cs="宋体"/>
        </w:rPr>
        <w:t>杜鹃花培育及常见病虫害防治技术研究进展</w:t>
      </w:r>
      <w:bookmarkEnd w:id="51"/>
      <w:r>
        <w:rPr>
          <w:rFonts w:hint="eastAsia" w:ascii="宋体" w:hAnsi="宋体" w:cs="宋体"/>
        </w:rPr>
        <w:t>[J].农业开发与装备,2020(06):205-206.</w:t>
      </w:r>
    </w:p>
    <w:p w14:paraId="52273192">
      <w:pPr>
        <w:numPr>
          <w:ilvl w:val="0"/>
          <w:numId w:val="32"/>
        </w:numPr>
        <w:adjustRightInd/>
        <w:ind w:firstLine="420" w:firstLineChars="200"/>
        <w:rPr>
          <w:rFonts w:ascii="宋体" w:hAnsi="宋体" w:cs="宋体"/>
        </w:rPr>
      </w:pPr>
      <w:r>
        <w:rPr>
          <w:rFonts w:hint="eastAsia" w:ascii="宋体" w:hAnsi="宋体" w:cs="宋体"/>
        </w:rPr>
        <w:t>王娟.杜鹃花病虫害防治的关键技术研究[J].种子科技,2023,41(17):112-114.</w:t>
      </w:r>
    </w:p>
    <w:p w14:paraId="24ADF3B4">
      <w:pPr>
        <w:pStyle w:val="98"/>
        <w:numPr>
          <w:ilvl w:val="0"/>
          <w:numId w:val="0"/>
        </w:numPr>
        <w:spacing w:before="156" w:after="156"/>
        <w:ind w:firstLine="420" w:firstLineChars="200"/>
        <w:jc w:val="center"/>
      </w:pPr>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pgSz w:w="11906" w:h="16838"/>
      <w:pgMar w:top="2410"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803BE">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ACDEE">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4FB21">
    <w:pPr>
      <w:pStyle w:val="56"/>
    </w:pPr>
    <w:r>
      <w:fldChar w:fldCharType="begin"/>
    </w:r>
    <w:r>
      <w:instrText xml:space="preserve">PAGE   \* MERGEFORMAT</w:instrText>
    </w:r>
    <w:r>
      <w:fldChar w:fldCharType="separate"/>
    </w:r>
    <w:r>
      <w:rPr>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E9521">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A8A71">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B2735">
    <w:pPr>
      <w:pStyle w:val="65"/>
    </w:pPr>
    <w:r>
      <w:fldChar w:fldCharType="begin"/>
    </w:r>
    <w:r>
      <w:instrText xml:space="preserve"> STYLEREF  标准文件_文件编号  \* MERGEFORMAT </w:instrText>
    </w:r>
    <w:r>
      <w:fldChar w:fldCharType="separate"/>
    </w:r>
    <w:r>
      <w:t>DB 32/T XXXX—2024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B140C">
    <w:pPr>
      <w:pStyle w:val="20"/>
      <w:jc w:val="right"/>
      <w:rPr>
        <w:lang w:val="fr-FR"/>
      </w:rPr>
    </w:pPr>
    <w:r>
      <w:fldChar w:fldCharType="begin"/>
    </w:r>
    <w:r>
      <w:instrText xml:space="preserve"> STYLEREF  标准文件_文件编号  \* MERGEFORMAT </w:instrText>
    </w:r>
    <w:r>
      <w:fldChar w:fldCharType="separate"/>
    </w:r>
    <w:r>
      <w:t>DB 32/T XXXX—2024</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pStyle w:val="237"/>
      <w:suff w:val="nothing"/>
      <w:lvlText w:val="%1.%2　"/>
      <w:lvlJc w:val="left"/>
      <w:pPr>
        <w:ind w:left="1588" w:firstLine="0"/>
      </w:pPr>
    </w:lvl>
    <w:lvl w:ilvl="2" w:tentative="0">
      <w:start w:val="1"/>
      <w:numFmt w:val="decimal"/>
      <w:pStyle w:val="236"/>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9"/>
      <w:suff w:val="nothing"/>
      <w:lvlText w:val="%1%2.%3.%4　"/>
      <w:lvlJc w:val="left"/>
      <w:pPr>
        <w:ind w:left="1134" w:firstLine="0"/>
      </w:pPr>
      <w:rPr>
        <w:rFonts w:hint="eastAsia" w:ascii="黑体" w:eastAsia="黑体"/>
        <w:b w:val="0"/>
        <w:i w:val="0"/>
        <w:sz w:val="21"/>
      </w:rPr>
    </w:lvl>
    <w:lvl w:ilvl="4" w:tentative="0">
      <w:start w:val="1"/>
      <w:numFmt w:val="decimal"/>
      <w:pStyle w:val="98"/>
      <w:suff w:val="nothing"/>
      <w:lvlText w:val="%1%2.%3.%4.%5　"/>
      <w:lvlJc w:val="left"/>
      <w:pPr>
        <w:ind w:left="709"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23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6F4BFE2C"/>
    <w:multiLevelType w:val="singleLevel"/>
    <w:tmpl w:val="6F4BFE2C"/>
    <w:lvl w:ilvl="0" w:tentative="0">
      <w:start w:val="1"/>
      <w:numFmt w:val="decimal"/>
      <w:lvlText w:val="[%1]"/>
      <w:lvlJc w:val="left"/>
      <w:pPr>
        <w:tabs>
          <w:tab w:val="left" w:pos="312"/>
        </w:tabs>
      </w:pPr>
    </w:lvl>
  </w:abstractNum>
  <w:abstractNum w:abstractNumId="31">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15"/>
  </w:num>
  <w:num w:numId="19">
    <w:abstractNumId w:val="1"/>
  </w:num>
  <w:num w:numId="20">
    <w:abstractNumId w:val="10"/>
  </w:num>
  <w:num w:numId="21">
    <w:abstractNumId w:val="31"/>
  </w:num>
  <w:num w:numId="22">
    <w:abstractNumId w:val="20"/>
  </w:num>
  <w:num w:numId="23">
    <w:abstractNumId w:val="6"/>
  </w:num>
  <w:num w:numId="24">
    <w:abstractNumId w:val="26"/>
  </w:num>
  <w:num w:numId="25">
    <w:abstractNumId w:val="28"/>
  </w:num>
  <w:num w:numId="26">
    <w:abstractNumId w:val="2"/>
  </w:num>
  <w:num w:numId="27">
    <w:abstractNumId w:val="4"/>
  </w:num>
  <w:num w:numId="28">
    <w:abstractNumId w:val="14"/>
  </w:num>
  <w:num w:numId="29">
    <w:abstractNumId w:val="24"/>
  </w:num>
  <w:num w:numId="30">
    <w:abstractNumId w:val="22"/>
  </w:num>
  <w:num w:numId="31">
    <w:abstractNumId w:val="29"/>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mVmNDNkOWUxODQ5YzRjYzI2Mjk0ZTQ4NGE4MDc3ZDUifQ=="/>
  </w:docVars>
  <w:rsids>
    <w:rsidRoot w:val="00236D1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1E79"/>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514"/>
    <w:rsid w:val="000F4AEA"/>
    <w:rsid w:val="000F633F"/>
    <w:rsid w:val="000F67E9"/>
    <w:rsid w:val="00104926"/>
    <w:rsid w:val="001136EB"/>
    <w:rsid w:val="00113B1E"/>
    <w:rsid w:val="0011711C"/>
    <w:rsid w:val="0012059C"/>
    <w:rsid w:val="00124E4F"/>
    <w:rsid w:val="001254F5"/>
    <w:rsid w:val="001260B7"/>
    <w:rsid w:val="001265CB"/>
    <w:rsid w:val="001321C6"/>
    <w:rsid w:val="001325C4"/>
    <w:rsid w:val="00133010"/>
    <w:rsid w:val="001338EE"/>
    <w:rsid w:val="00133AAE"/>
    <w:rsid w:val="00135323"/>
    <w:rsid w:val="001356C4"/>
    <w:rsid w:val="00135E3E"/>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0C4C"/>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4A4"/>
    <w:rsid w:val="00202AA4"/>
    <w:rsid w:val="002031F7"/>
    <w:rsid w:val="002040E6"/>
    <w:rsid w:val="0020527B"/>
    <w:rsid w:val="00205F2C"/>
    <w:rsid w:val="00210B15"/>
    <w:rsid w:val="002142EA"/>
    <w:rsid w:val="00215C84"/>
    <w:rsid w:val="002204BB"/>
    <w:rsid w:val="00221B79"/>
    <w:rsid w:val="00221C6B"/>
    <w:rsid w:val="002253A1"/>
    <w:rsid w:val="00225CF8"/>
    <w:rsid w:val="0022794E"/>
    <w:rsid w:val="00233D64"/>
    <w:rsid w:val="0023482A"/>
    <w:rsid w:val="002359CB"/>
    <w:rsid w:val="00236D16"/>
    <w:rsid w:val="00243540"/>
    <w:rsid w:val="0024497B"/>
    <w:rsid w:val="0024515B"/>
    <w:rsid w:val="00246021"/>
    <w:rsid w:val="0024666E"/>
    <w:rsid w:val="00247F52"/>
    <w:rsid w:val="00250B25"/>
    <w:rsid w:val="00250BBE"/>
    <w:rsid w:val="002515C2"/>
    <w:rsid w:val="0025194F"/>
    <w:rsid w:val="00255DFE"/>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4B2"/>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A75"/>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6D9F"/>
    <w:rsid w:val="0042338D"/>
    <w:rsid w:val="00432DAA"/>
    <w:rsid w:val="00434305"/>
    <w:rsid w:val="00435DF7"/>
    <w:rsid w:val="0044083F"/>
    <w:rsid w:val="00441AE7"/>
    <w:rsid w:val="00445574"/>
    <w:rsid w:val="004467FB"/>
    <w:rsid w:val="00452D6B"/>
    <w:rsid w:val="00454484"/>
    <w:rsid w:val="0045517B"/>
    <w:rsid w:val="00456AC5"/>
    <w:rsid w:val="00463B77"/>
    <w:rsid w:val="00463C7B"/>
    <w:rsid w:val="004644A6"/>
    <w:rsid w:val="004659BD"/>
    <w:rsid w:val="00470775"/>
    <w:rsid w:val="004746B1"/>
    <w:rsid w:val="0047583F"/>
    <w:rsid w:val="00475DE8"/>
    <w:rsid w:val="00481C44"/>
    <w:rsid w:val="00484936"/>
    <w:rsid w:val="00485C89"/>
    <w:rsid w:val="00486BE3"/>
    <w:rsid w:val="0049011E"/>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1684"/>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7ECE"/>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060"/>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B7C6C"/>
    <w:rsid w:val="007C1E8B"/>
    <w:rsid w:val="007C2D89"/>
    <w:rsid w:val="007C4593"/>
    <w:rsid w:val="007C5309"/>
    <w:rsid w:val="007C6069"/>
    <w:rsid w:val="007D06C4"/>
    <w:rsid w:val="007D1352"/>
    <w:rsid w:val="007D2508"/>
    <w:rsid w:val="007D346A"/>
    <w:rsid w:val="007D6518"/>
    <w:rsid w:val="007D76BD"/>
    <w:rsid w:val="007E0BF1"/>
    <w:rsid w:val="007E2F8C"/>
    <w:rsid w:val="007E4719"/>
    <w:rsid w:val="007F0ED8"/>
    <w:rsid w:val="007F0F63"/>
    <w:rsid w:val="007F26D0"/>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3789E"/>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0ECB"/>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56A"/>
    <w:rsid w:val="008E4BB6"/>
    <w:rsid w:val="008E5518"/>
    <w:rsid w:val="008E6A84"/>
    <w:rsid w:val="008F0CDC"/>
    <w:rsid w:val="008F17A3"/>
    <w:rsid w:val="008F1ED3"/>
    <w:rsid w:val="008F23A5"/>
    <w:rsid w:val="008F4C29"/>
    <w:rsid w:val="008F70BD"/>
    <w:rsid w:val="008F788F"/>
    <w:rsid w:val="008F7EA2"/>
    <w:rsid w:val="00900ED8"/>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0A0A"/>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56F"/>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9706F"/>
    <w:rsid w:val="00AA052C"/>
    <w:rsid w:val="00AA1E45"/>
    <w:rsid w:val="00AA4286"/>
    <w:rsid w:val="00AA456B"/>
    <w:rsid w:val="00AA57F5"/>
    <w:rsid w:val="00AA672E"/>
    <w:rsid w:val="00AA6EC9"/>
    <w:rsid w:val="00AB41D5"/>
    <w:rsid w:val="00AB6309"/>
    <w:rsid w:val="00AB68BC"/>
    <w:rsid w:val="00AB6C5F"/>
    <w:rsid w:val="00AB7129"/>
    <w:rsid w:val="00AC27A6"/>
    <w:rsid w:val="00AC30F7"/>
    <w:rsid w:val="00AC3A5A"/>
    <w:rsid w:val="00AC4D95"/>
    <w:rsid w:val="00AC5DF4"/>
    <w:rsid w:val="00AC68AA"/>
    <w:rsid w:val="00AD0AEF"/>
    <w:rsid w:val="00AD11B7"/>
    <w:rsid w:val="00AD1A94"/>
    <w:rsid w:val="00AD1C05"/>
    <w:rsid w:val="00AD289B"/>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5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76E9"/>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18E1"/>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19B1"/>
    <w:rsid w:val="00D0321C"/>
    <w:rsid w:val="00D035EC"/>
    <w:rsid w:val="00D06AB1"/>
    <w:rsid w:val="00D072ED"/>
    <w:rsid w:val="00D07A16"/>
    <w:rsid w:val="00D1067E"/>
    <w:rsid w:val="00D10F50"/>
    <w:rsid w:val="00D11272"/>
    <w:rsid w:val="00D126F5"/>
    <w:rsid w:val="00D1489E"/>
    <w:rsid w:val="00D16486"/>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5468"/>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A57"/>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40C5"/>
    <w:rsid w:val="00E15CCD"/>
    <w:rsid w:val="00E202EF"/>
    <w:rsid w:val="00E210B5"/>
    <w:rsid w:val="00E23D99"/>
    <w:rsid w:val="00E2552F"/>
    <w:rsid w:val="00E26C1C"/>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79B9"/>
    <w:rsid w:val="00F25BB6"/>
    <w:rsid w:val="00F269A8"/>
    <w:rsid w:val="00F26B7E"/>
    <w:rsid w:val="00F27A3B"/>
    <w:rsid w:val="00F33817"/>
    <w:rsid w:val="00F36536"/>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6E6"/>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3A5E"/>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0236B3"/>
    <w:rsid w:val="034445B5"/>
    <w:rsid w:val="03D60954"/>
    <w:rsid w:val="04454005"/>
    <w:rsid w:val="04A61F89"/>
    <w:rsid w:val="085633BF"/>
    <w:rsid w:val="08C401C2"/>
    <w:rsid w:val="0B0A3D56"/>
    <w:rsid w:val="0B8D7408"/>
    <w:rsid w:val="0BF374F4"/>
    <w:rsid w:val="0D224238"/>
    <w:rsid w:val="0D264AD2"/>
    <w:rsid w:val="0DDC74AE"/>
    <w:rsid w:val="0F3F5FF6"/>
    <w:rsid w:val="12637F85"/>
    <w:rsid w:val="12F83F4E"/>
    <w:rsid w:val="1339173A"/>
    <w:rsid w:val="164B3423"/>
    <w:rsid w:val="17D7362C"/>
    <w:rsid w:val="187B3D57"/>
    <w:rsid w:val="193D022C"/>
    <w:rsid w:val="19715B13"/>
    <w:rsid w:val="1B2B4516"/>
    <w:rsid w:val="1BF51661"/>
    <w:rsid w:val="1DEE36F3"/>
    <w:rsid w:val="1E2E6541"/>
    <w:rsid w:val="1F492925"/>
    <w:rsid w:val="22A60967"/>
    <w:rsid w:val="22B077D6"/>
    <w:rsid w:val="234B4A63"/>
    <w:rsid w:val="25323DC4"/>
    <w:rsid w:val="27345B41"/>
    <w:rsid w:val="28861EB0"/>
    <w:rsid w:val="291C5BFE"/>
    <w:rsid w:val="298861E2"/>
    <w:rsid w:val="2A9C3DF6"/>
    <w:rsid w:val="2CC54A60"/>
    <w:rsid w:val="2D0D36B6"/>
    <w:rsid w:val="2DD00A37"/>
    <w:rsid w:val="2E64464E"/>
    <w:rsid w:val="300F0E69"/>
    <w:rsid w:val="31794069"/>
    <w:rsid w:val="318123B0"/>
    <w:rsid w:val="333C43C8"/>
    <w:rsid w:val="35C6441D"/>
    <w:rsid w:val="36186477"/>
    <w:rsid w:val="36370E76"/>
    <w:rsid w:val="36B15682"/>
    <w:rsid w:val="378309A0"/>
    <w:rsid w:val="378325C5"/>
    <w:rsid w:val="3D4A5E08"/>
    <w:rsid w:val="3D79358A"/>
    <w:rsid w:val="3D800669"/>
    <w:rsid w:val="3E46434D"/>
    <w:rsid w:val="3ED50CA5"/>
    <w:rsid w:val="40552CCD"/>
    <w:rsid w:val="40DC294A"/>
    <w:rsid w:val="41C030B7"/>
    <w:rsid w:val="42E45B26"/>
    <w:rsid w:val="43493C0F"/>
    <w:rsid w:val="46CC12EB"/>
    <w:rsid w:val="46CD0741"/>
    <w:rsid w:val="47240F4F"/>
    <w:rsid w:val="48591CAE"/>
    <w:rsid w:val="48CA7B79"/>
    <w:rsid w:val="4982415A"/>
    <w:rsid w:val="4E035C3E"/>
    <w:rsid w:val="4E553A27"/>
    <w:rsid w:val="4FB94ED8"/>
    <w:rsid w:val="503D536F"/>
    <w:rsid w:val="523E75B2"/>
    <w:rsid w:val="528F5B0C"/>
    <w:rsid w:val="52A26D9E"/>
    <w:rsid w:val="55B55F10"/>
    <w:rsid w:val="56B61D7B"/>
    <w:rsid w:val="56F52014"/>
    <w:rsid w:val="578F4AB4"/>
    <w:rsid w:val="59B8226D"/>
    <w:rsid w:val="5A4C2E1A"/>
    <w:rsid w:val="5AE25520"/>
    <w:rsid w:val="5B4812AC"/>
    <w:rsid w:val="622639C9"/>
    <w:rsid w:val="62682234"/>
    <w:rsid w:val="627821ED"/>
    <w:rsid w:val="62EC6305"/>
    <w:rsid w:val="633E3777"/>
    <w:rsid w:val="673C6346"/>
    <w:rsid w:val="67A55390"/>
    <w:rsid w:val="687761F1"/>
    <w:rsid w:val="6A3C6480"/>
    <w:rsid w:val="6EA81F5F"/>
    <w:rsid w:val="70F0003F"/>
    <w:rsid w:val="71520337"/>
    <w:rsid w:val="7390694A"/>
    <w:rsid w:val="758B02BC"/>
    <w:rsid w:val="765A633E"/>
    <w:rsid w:val="77F9150C"/>
    <w:rsid w:val="78B116E2"/>
    <w:rsid w:val="78C74C7B"/>
    <w:rsid w:val="7A1940E8"/>
    <w:rsid w:val="7A3426C9"/>
    <w:rsid w:val="7D1666BD"/>
    <w:rsid w:val="7D3B29C0"/>
    <w:rsid w:val="7ED94418"/>
    <w:rsid w:val="7FAA2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semiHidden="0"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caption"/>
    <w:basedOn w:val="1"/>
    <w:next w:val="1"/>
    <w:unhideWhenUsed/>
    <w:qFormat/>
    <w:uiPriority w:val="0"/>
    <w:rPr>
      <w:rFonts w:ascii="Arial" w:hAnsi="Arial" w:eastAsia="黑体"/>
      <w:sz w:val="20"/>
    </w:rPr>
  </w:style>
  <w:style w:type="paragraph" w:styleId="14">
    <w:name w:val="annotation text"/>
    <w:basedOn w:val="1"/>
    <w:link w:val="240"/>
    <w:semiHidden/>
    <w:unhideWhenUsed/>
    <w:qFormat/>
    <w:uiPriority w:val="99"/>
    <w:pPr>
      <w:jc w:val="left"/>
    </w:pPr>
  </w:style>
  <w:style w:type="paragraph" w:styleId="15">
    <w:name w:val="Body Text"/>
    <w:basedOn w:val="1"/>
    <w:link w:val="90"/>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9"/>
    <w:semiHidden/>
    <w:unhideWhenUsed/>
    <w:qFormat/>
    <w:uiPriority w:val="99"/>
    <w:rPr>
      <w:sz w:val="18"/>
      <w:szCs w:val="18"/>
    </w:rPr>
  </w:style>
  <w:style w:type="paragraph" w:styleId="19">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7"/>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paragraph" w:styleId="28">
    <w:name w:val="annotation subject"/>
    <w:basedOn w:val="14"/>
    <w:next w:val="14"/>
    <w:link w:val="241"/>
    <w:semiHidden/>
    <w:unhideWhenUsed/>
    <w:qFormat/>
    <w:uiPriority w:val="99"/>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Char"/>
    <w:link w:val="2"/>
    <w:qFormat/>
    <w:uiPriority w:val="0"/>
    <w:rPr>
      <w:rFonts w:ascii="Times New Roman" w:hAnsi="Times New Roman" w:eastAsia="宋体" w:cs="Times New Roman"/>
      <w:b/>
      <w:bCs/>
      <w:kern w:val="44"/>
      <w:sz w:val="44"/>
      <w:szCs w:val="44"/>
    </w:rPr>
  </w:style>
  <w:style w:type="character" w:customStyle="1" w:styleId="39">
    <w:name w:val="标题 2 Char"/>
    <w:link w:val="3"/>
    <w:qFormat/>
    <w:uiPriority w:val="0"/>
    <w:rPr>
      <w:rFonts w:ascii="Arial" w:hAnsi="Arial" w:eastAsia="黑体" w:cs="Times New Roman"/>
      <w:b/>
      <w:bCs/>
      <w:sz w:val="32"/>
      <w:szCs w:val="32"/>
    </w:rPr>
  </w:style>
  <w:style w:type="character" w:customStyle="1" w:styleId="40">
    <w:name w:val="标题 3 Char"/>
    <w:link w:val="4"/>
    <w:qFormat/>
    <w:uiPriority w:val="0"/>
    <w:rPr>
      <w:rFonts w:ascii="Times New Roman" w:hAnsi="Times New Roman" w:eastAsia="宋体" w:cs="Times New Roman"/>
      <w:b/>
      <w:bCs/>
      <w:sz w:val="32"/>
      <w:szCs w:val="32"/>
    </w:rPr>
  </w:style>
  <w:style w:type="character" w:customStyle="1" w:styleId="41">
    <w:name w:val="标题 4 Char"/>
    <w:link w:val="5"/>
    <w:qFormat/>
    <w:uiPriority w:val="0"/>
    <w:rPr>
      <w:rFonts w:ascii="Arial" w:hAnsi="Arial" w:eastAsia="黑体" w:cs="Times New Roman"/>
      <w:b/>
      <w:bCs/>
      <w:sz w:val="28"/>
      <w:szCs w:val="28"/>
    </w:rPr>
  </w:style>
  <w:style w:type="character" w:customStyle="1" w:styleId="42">
    <w:name w:val="标题 5 Char"/>
    <w:link w:val="6"/>
    <w:qFormat/>
    <w:uiPriority w:val="0"/>
    <w:rPr>
      <w:rFonts w:ascii="Times New Roman" w:hAnsi="Times New Roman" w:eastAsia="宋体" w:cs="Times New Roman"/>
      <w:b/>
      <w:bCs/>
      <w:sz w:val="28"/>
      <w:szCs w:val="28"/>
    </w:rPr>
  </w:style>
  <w:style w:type="character" w:customStyle="1" w:styleId="43">
    <w:name w:val="标题 6 Char"/>
    <w:link w:val="7"/>
    <w:qFormat/>
    <w:uiPriority w:val="0"/>
    <w:rPr>
      <w:rFonts w:ascii="Arial" w:hAnsi="Arial" w:eastAsia="黑体" w:cs="Times New Roman"/>
      <w:b/>
      <w:bCs/>
      <w:sz w:val="24"/>
      <w:szCs w:val="24"/>
    </w:rPr>
  </w:style>
  <w:style w:type="character" w:customStyle="1" w:styleId="44">
    <w:name w:val="标题 7 Char"/>
    <w:link w:val="8"/>
    <w:qFormat/>
    <w:uiPriority w:val="0"/>
    <w:rPr>
      <w:rFonts w:ascii="Times New Roman" w:hAnsi="Times New Roman" w:eastAsia="宋体" w:cs="Times New Roman"/>
      <w:b/>
      <w:bCs/>
      <w:sz w:val="24"/>
      <w:szCs w:val="24"/>
    </w:rPr>
  </w:style>
  <w:style w:type="character" w:customStyle="1" w:styleId="45">
    <w:name w:val="标题 8 Char"/>
    <w:link w:val="9"/>
    <w:qFormat/>
    <w:uiPriority w:val="0"/>
    <w:rPr>
      <w:rFonts w:ascii="Arial" w:hAnsi="Arial" w:eastAsia="黑体" w:cs="Times New Roman"/>
      <w:sz w:val="24"/>
      <w:szCs w:val="24"/>
    </w:rPr>
  </w:style>
  <w:style w:type="character" w:customStyle="1" w:styleId="46">
    <w:name w:val="标题 9 Char"/>
    <w:link w:val="10"/>
    <w:qFormat/>
    <w:uiPriority w:val="0"/>
    <w:rPr>
      <w:rFonts w:ascii="Arial" w:hAnsi="Arial" w:eastAsia="黑体" w:cs="Times New Roman"/>
      <w:szCs w:val="21"/>
    </w:rPr>
  </w:style>
  <w:style w:type="character" w:customStyle="1" w:styleId="47">
    <w:name w:val="页眉 Char"/>
    <w:link w:val="20"/>
    <w:qFormat/>
    <w:uiPriority w:val="99"/>
    <w:rPr>
      <w:rFonts w:ascii="Times New Roman" w:hAnsi="Times New Roman" w:eastAsia="宋体" w:cs="Times New Roman"/>
      <w:sz w:val="18"/>
      <w:szCs w:val="18"/>
    </w:rPr>
  </w:style>
  <w:style w:type="character" w:customStyle="1" w:styleId="48">
    <w:name w:val="页脚 Char"/>
    <w:link w:val="19"/>
    <w:qFormat/>
    <w:uiPriority w:val="99"/>
    <w:rPr>
      <w:rFonts w:ascii="宋体" w:hAnsi="Times New Roman" w:eastAsia="宋体" w:cs="Times New Roman"/>
      <w:sz w:val="18"/>
      <w:szCs w:val="18"/>
    </w:rPr>
  </w:style>
  <w:style w:type="character" w:customStyle="1" w:styleId="49">
    <w:name w:val="批注框文本 Char"/>
    <w:link w:val="18"/>
    <w:semiHidden/>
    <w:qFormat/>
    <w:uiPriority w:val="99"/>
    <w:rPr>
      <w:sz w:val="18"/>
      <w:szCs w:val="18"/>
    </w:rPr>
  </w:style>
  <w:style w:type="paragraph" w:styleId="50">
    <w:name w:val="Quote"/>
    <w:basedOn w:val="1"/>
    <w:next w:val="1"/>
    <w:link w:val="51"/>
    <w:qFormat/>
    <w:uiPriority w:val="29"/>
    <w:rPr>
      <w:i/>
      <w:iCs/>
      <w:color w:val="000000"/>
    </w:rPr>
  </w:style>
  <w:style w:type="character" w:customStyle="1" w:styleId="51">
    <w:name w:val="引用 Char"/>
    <w:link w:val="50"/>
    <w:qFormat/>
    <w:uiPriority w:val="29"/>
    <w:rPr>
      <w:i/>
      <w:iCs/>
      <w:color w:val="000000"/>
    </w:rPr>
  </w:style>
  <w:style w:type="character" w:customStyle="1" w:styleId="52">
    <w:name w:val="标题 Char"/>
    <w:link w:val="27"/>
    <w:qFormat/>
    <w:uiPriority w:val="0"/>
    <w:rPr>
      <w:rFonts w:ascii="Arial" w:hAnsi="Arial" w:eastAsia="宋体" w:cs="Arial"/>
      <w:b/>
      <w:bCs/>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Lines="50" w:afterLines="50"/>
      <w:ind w:left="567"/>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Char"/>
    <w:link w:val="15"/>
    <w:qFormat/>
    <w:uiPriority w:val="0"/>
    <w:rPr>
      <w:rFonts w:ascii="Times New Roman" w:hAnsi="Times New Roman" w:eastAsia="宋体" w:cs="Times New Roman"/>
      <w:szCs w:val="20"/>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pPr>
  </w:style>
  <w:style w:type="paragraph" w:customStyle="1" w:styleId="95">
    <w:name w:val="标准文件_目录标题"/>
    <w:basedOn w:val="1"/>
    <w:qFormat/>
    <w:uiPriority w:val="0"/>
    <w:pPr>
      <w:spacing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ind w:left="0" w:firstLine="200"/>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3">
    <w:name w:val="脚注文本 Char"/>
    <w:link w:val="23"/>
    <w:semiHidden/>
    <w:qFormat/>
    <w:uiPriority w:val="0"/>
    <w:rPr>
      <w:rFonts w:ascii="宋体" w:hAnsi="Times New Roman" w:eastAsia="宋体" w:cs="Times New Roman"/>
      <w:sz w:val="18"/>
      <w:szCs w:val="18"/>
    </w:rPr>
  </w:style>
  <w:style w:type="paragraph" w:customStyle="1" w:styleId="104">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Lines="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19"/>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0"/>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pPr>
      <w:adjustRightInd/>
      <w:spacing w:line="240" w:lineRule="auto"/>
      <w:jc w:val="left"/>
    </w:pPr>
    <w:rPr>
      <w:bCs/>
      <w:iCs/>
    </w:rPr>
  </w:style>
  <w:style w:type="paragraph" w:customStyle="1" w:styleId="147">
    <w:name w:val="目录 31"/>
    <w:basedOn w:val="1"/>
    <w:next w:val="1"/>
    <w:semiHidden/>
    <w:qFormat/>
    <w:uiPriority w:val="0"/>
    <w:pPr>
      <w:spacing w:line="240" w:lineRule="auto"/>
    </w:pPr>
    <w:rPr>
      <w:rFonts w:ascii="宋体" w:hAnsi="宋体"/>
      <w:iCs/>
    </w:rPr>
  </w:style>
  <w:style w:type="paragraph" w:customStyle="1" w:styleId="148">
    <w:name w:val="目录 41"/>
    <w:basedOn w:val="1"/>
    <w:next w:val="1"/>
    <w:semiHidden/>
    <w:qFormat/>
    <w:uiPriority w:val="0"/>
    <w:pPr>
      <w:adjustRightInd/>
      <w:spacing w:line="240" w:lineRule="auto"/>
      <w:jc w:val="left"/>
    </w:pPr>
  </w:style>
  <w:style w:type="paragraph" w:customStyle="1" w:styleId="149">
    <w:name w:val="目录 51"/>
    <w:basedOn w:val="1"/>
    <w:next w:val="1"/>
    <w:semiHidden/>
    <w:qFormat/>
    <w:uiPriority w:val="0"/>
    <w:pPr>
      <w:spacing w:line="240" w:lineRule="auto"/>
    </w:pPr>
    <w:rPr>
      <w:rFonts w:ascii="宋体" w:hAnsi="宋体"/>
    </w:rPr>
  </w:style>
  <w:style w:type="paragraph" w:customStyle="1" w:styleId="150">
    <w:name w:val="目录 61"/>
    <w:basedOn w:val="1"/>
    <w:next w:val="1"/>
    <w:semiHidden/>
    <w:qFormat/>
    <w:uiPriority w:val="0"/>
    <w:pPr>
      <w:adjustRightInd/>
      <w:spacing w:line="240" w:lineRule="auto"/>
      <w:jc w:val="left"/>
    </w:pPr>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19"/>
      </w:numPr>
      <w:adjustRightInd/>
      <w:spacing w:line="240" w:lineRule="auto"/>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19"/>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19"/>
      </w:numPr>
      <w:adjustRightInd/>
    </w:pPr>
    <w:rPr>
      <w:szCs w:val="24"/>
    </w:rPr>
  </w:style>
  <w:style w:type="paragraph" w:customStyle="1" w:styleId="163">
    <w:name w:val="一级无标题条"/>
    <w:basedOn w:val="1"/>
    <w:qFormat/>
    <w:uiPriority w:val="0"/>
    <w:pPr>
      <w:numPr>
        <w:ilvl w:val="2"/>
        <w:numId w:val="19"/>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Lines="0" w:afterLines="0"/>
      <w:outlineLvl w:val="9"/>
    </w:pPr>
    <w:rPr>
      <w:rFonts w:ascii="宋体" w:eastAsia="宋体"/>
    </w:rPr>
  </w:style>
  <w:style w:type="paragraph" w:customStyle="1" w:styleId="167">
    <w:name w:val="标准文件_五级无标题"/>
    <w:basedOn w:val="107"/>
    <w:qFormat/>
    <w:uiPriority w:val="0"/>
    <w:pPr>
      <w:spacing w:beforeLines="0" w:afterLines="0"/>
      <w:outlineLvl w:val="9"/>
    </w:pPr>
    <w:rPr>
      <w:rFonts w:ascii="宋体" w:eastAsia="宋体"/>
    </w:rPr>
  </w:style>
  <w:style w:type="paragraph" w:customStyle="1" w:styleId="168">
    <w:name w:val="标准文件_三级无标题"/>
    <w:basedOn w:val="98"/>
    <w:qFormat/>
    <w:uiPriority w:val="0"/>
    <w:pPr>
      <w:spacing w:beforeLines="0" w:afterLines="0"/>
      <w:outlineLvl w:val="9"/>
    </w:pPr>
    <w:rPr>
      <w:rFonts w:ascii="宋体" w:eastAsia="宋体"/>
    </w:rPr>
  </w:style>
  <w:style w:type="paragraph" w:customStyle="1" w:styleId="169">
    <w:name w:val="标准文件_二级无标题"/>
    <w:basedOn w:val="69"/>
    <w:qFormat/>
    <w:uiPriority w:val="0"/>
    <w:pPr>
      <w:spacing w:beforeLines="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Lines="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2"/>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3"/>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0"/>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4"/>
      </w:numPr>
      <w:adjustRightInd/>
      <w:spacing w:line="240" w:lineRule="auto"/>
      <w:ind w:left="783"/>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8"/>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0"/>
      </w:numPr>
      <w:ind w:left="1271" w:hanging="420" w:firstLineChars="0"/>
    </w:pPr>
  </w:style>
  <w:style w:type="paragraph" w:customStyle="1" w:styleId="192">
    <w:name w:val="标准文件_三级项2"/>
    <w:basedOn w:val="60"/>
    <w:qFormat/>
    <w:uiPriority w:val="0"/>
    <w:pPr>
      <w:numPr>
        <w:ilvl w:val="0"/>
        <w:numId w:val="29"/>
      </w:numPr>
      <w:spacing w:line="300" w:lineRule="exact"/>
      <w:ind w:left="1276" w:hanging="425" w:firstLineChars="0"/>
    </w:pPr>
    <w:rPr>
      <w:rFonts w:ascii="Times New Roman"/>
    </w:rPr>
  </w:style>
  <w:style w:type="paragraph" w:customStyle="1" w:styleId="193">
    <w:name w:val="标准文件_一级项2"/>
    <w:basedOn w:val="60"/>
    <w:qFormat/>
    <w:uiPriority w:val="0"/>
    <w:pPr>
      <w:numPr>
        <w:ilvl w:val="0"/>
        <w:numId w:val="30"/>
      </w:numPr>
      <w:spacing w:line="300" w:lineRule="exact"/>
      <w:ind w:left="1271" w:hanging="420"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frame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Lines="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Lines="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Lines="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Lines="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Lines="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Lines="0" w:afterLines="0" w:line="276" w:lineRule="auto"/>
      <w:outlineLvl w:val="9"/>
    </w:pPr>
    <w:rPr>
      <w:rFonts w:ascii="宋体" w:eastAsia="宋体"/>
    </w:rPr>
  </w:style>
  <w:style w:type="paragraph" w:customStyle="1" w:styleId="216">
    <w:name w:val="标准文件_附录二级无标题"/>
    <w:basedOn w:val="83"/>
    <w:qFormat/>
    <w:uiPriority w:val="0"/>
    <w:pPr>
      <w:spacing w:beforeLines="0" w:afterLines="0" w:line="276" w:lineRule="auto"/>
      <w:outlineLvl w:val="9"/>
    </w:pPr>
    <w:rPr>
      <w:rFonts w:ascii="宋体" w:eastAsia="宋体"/>
    </w:rPr>
  </w:style>
  <w:style w:type="paragraph" w:customStyle="1" w:styleId="217">
    <w:name w:val="标准文件_附录三级无标题"/>
    <w:basedOn w:val="85"/>
    <w:qFormat/>
    <w:uiPriority w:val="0"/>
    <w:pPr>
      <w:spacing w:beforeLines="0" w:afterLines="0" w:line="276" w:lineRule="auto"/>
      <w:outlineLvl w:val="9"/>
    </w:pPr>
    <w:rPr>
      <w:rFonts w:ascii="宋体" w:eastAsia="宋体"/>
    </w:rPr>
  </w:style>
  <w:style w:type="paragraph" w:customStyle="1" w:styleId="218">
    <w:name w:val="标准文件_附录四级无标题"/>
    <w:basedOn w:val="86"/>
    <w:qFormat/>
    <w:uiPriority w:val="0"/>
    <w:pPr>
      <w:spacing w:beforeLines="0" w:afterLines="0" w:line="276" w:lineRule="auto"/>
      <w:outlineLvl w:val="9"/>
    </w:pPr>
    <w:rPr>
      <w:rFonts w:ascii="宋体" w:eastAsia="宋体"/>
    </w:rPr>
  </w:style>
  <w:style w:type="paragraph" w:customStyle="1" w:styleId="219">
    <w:name w:val="标准文件_附录五级无标题"/>
    <w:basedOn w:val="88"/>
    <w:qFormat/>
    <w:uiPriority w:val="0"/>
    <w:pPr>
      <w:spacing w:beforeLines="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Lines="0" w:afterLines="0" w:line="276" w:lineRule="auto"/>
    </w:pPr>
    <w:rPr>
      <w:rFonts w:ascii="宋体" w:eastAsia="宋体"/>
    </w:rPr>
  </w:style>
  <w:style w:type="paragraph" w:customStyle="1" w:styleId="221">
    <w:name w:val="标准文件_引言二级无标题"/>
    <w:basedOn w:val="205"/>
    <w:next w:val="60"/>
    <w:qFormat/>
    <w:uiPriority w:val="0"/>
    <w:pPr>
      <w:spacing w:beforeLines="0" w:afterLines="0" w:line="276" w:lineRule="auto"/>
    </w:pPr>
    <w:rPr>
      <w:rFonts w:ascii="宋体" w:eastAsia="宋体"/>
    </w:rPr>
  </w:style>
  <w:style w:type="paragraph" w:customStyle="1" w:styleId="222">
    <w:name w:val="标准文件_引言三级无标题"/>
    <w:basedOn w:val="206"/>
    <w:next w:val="60"/>
    <w:qFormat/>
    <w:uiPriority w:val="0"/>
    <w:pPr>
      <w:spacing w:beforeLines="0" w:afterLines="0" w:line="276" w:lineRule="auto"/>
    </w:pPr>
    <w:rPr>
      <w:rFonts w:ascii="宋体" w:eastAsia="宋体"/>
    </w:rPr>
  </w:style>
  <w:style w:type="paragraph" w:customStyle="1" w:styleId="223">
    <w:name w:val="标准文件_引言四级无标题"/>
    <w:basedOn w:val="207"/>
    <w:next w:val="60"/>
    <w:qFormat/>
    <w:uiPriority w:val="0"/>
    <w:pPr>
      <w:spacing w:beforeLines="0" w:afterLines="0" w:line="276" w:lineRule="auto"/>
    </w:pPr>
    <w:rPr>
      <w:rFonts w:ascii="宋体" w:eastAsia="宋体"/>
    </w:rPr>
  </w:style>
  <w:style w:type="paragraph" w:customStyle="1" w:styleId="224">
    <w:name w:val="标准文件_引言五级无标题"/>
    <w:basedOn w:val="208"/>
    <w:next w:val="60"/>
    <w:qFormat/>
    <w:uiPriority w:val="0"/>
    <w:pPr>
      <w:spacing w:beforeLines="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character" w:customStyle="1" w:styleId="234">
    <w:name w:val="段 Char"/>
    <w:link w:val="235"/>
    <w:qFormat/>
    <w:uiPriority w:val="0"/>
    <w:rPr>
      <w:rFonts w:ascii="宋体"/>
      <w:sz w:val="21"/>
    </w:rPr>
  </w:style>
  <w:style w:type="paragraph" w:customStyle="1" w:styleId="235">
    <w:name w:val="段"/>
    <w:link w:val="234"/>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36">
    <w:name w:val="二级条标题"/>
    <w:basedOn w:val="237"/>
    <w:next w:val="235"/>
    <w:qFormat/>
    <w:uiPriority w:val="0"/>
    <w:pPr>
      <w:numPr>
        <w:ilvl w:val="2"/>
      </w:numPr>
      <w:spacing w:before="50" w:after="50"/>
      <w:outlineLvl w:val="3"/>
    </w:pPr>
  </w:style>
  <w:style w:type="paragraph" w:customStyle="1" w:styleId="237">
    <w:name w:val="一级条标题"/>
    <w:next w:val="235"/>
    <w:qFormat/>
    <w:uiPriority w:val="0"/>
    <w:pPr>
      <w:numPr>
        <w:ilvl w:val="1"/>
        <w:numId w:val="10"/>
      </w:numPr>
      <w:spacing w:beforeLines="50" w:afterLines="50"/>
      <w:outlineLvl w:val="2"/>
    </w:pPr>
    <w:rPr>
      <w:rFonts w:ascii="黑体" w:hAnsi="Times New Roman" w:eastAsia="黑体" w:cs="Times New Roman"/>
      <w:sz w:val="21"/>
      <w:szCs w:val="21"/>
      <w:lang w:val="en-US" w:eastAsia="zh-CN" w:bidi="ar-SA"/>
    </w:rPr>
  </w:style>
  <w:style w:type="paragraph" w:customStyle="1" w:styleId="238">
    <w:name w:val="字母编号列项（一级）"/>
    <w:qFormat/>
    <w:uiPriority w:val="0"/>
    <w:pPr>
      <w:numPr>
        <w:ilvl w:val="0"/>
        <w:numId w:val="31"/>
      </w:numPr>
      <w:tabs>
        <w:tab w:val="left" w:pos="840"/>
      </w:tabs>
      <w:jc w:val="both"/>
    </w:pPr>
    <w:rPr>
      <w:rFonts w:ascii="宋体" w:hAnsi="Times New Roman" w:eastAsia="宋体" w:cs="Times New Roman"/>
      <w:sz w:val="21"/>
      <w:lang w:val="en-US" w:eastAsia="zh-CN" w:bidi="ar-SA"/>
    </w:rPr>
  </w:style>
  <w:style w:type="paragraph" w:customStyle="1" w:styleId="239">
    <w:name w:val="章标题"/>
    <w:next w:val="235"/>
    <w:qFormat/>
    <w:uiPriority w:val="0"/>
    <w:pPr>
      <w:spacing w:beforeLines="100" w:afterLines="100"/>
      <w:ind w:left="1588"/>
      <w:jc w:val="both"/>
      <w:outlineLvl w:val="1"/>
    </w:pPr>
    <w:rPr>
      <w:rFonts w:ascii="黑体" w:hAnsi="Times New Roman" w:eastAsia="黑体" w:cs="Times New Roman"/>
      <w:sz w:val="21"/>
      <w:lang w:val="en-US" w:eastAsia="zh-CN" w:bidi="ar-SA"/>
    </w:rPr>
  </w:style>
  <w:style w:type="character" w:customStyle="1" w:styleId="240">
    <w:name w:val="批注文字 Char"/>
    <w:basedOn w:val="31"/>
    <w:link w:val="14"/>
    <w:semiHidden/>
    <w:qFormat/>
    <w:uiPriority w:val="99"/>
    <w:rPr>
      <w:rFonts w:ascii="Calibri" w:hAnsi="Calibri"/>
      <w:kern w:val="2"/>
      <w:sz w:val="21"/>
      <w:szCs w:val="21"/>
    </w:rPr>
  </w:style>
  <w:style w:type="character" w:customStyle="1" w:styleId="241">
    <w:name w:val="批注主题 Char"/>
    <w:basedOn w:val="240"/>
    <w:link w:val="28"/>
    <w:semiHidden/>
    <w:qFormat/>
    <w:uiPriority w:val="99"/>
    <w:rPr>
      <w:rFonts w:ascii="Calibri" w:hAnsi="Calibri"/>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3533E99472F4B048E761905EFAAE374"/>
        <w:style w:val=""/>
        <w:category>
          <w:name w:val="常规"/>
          <w:gallery w:val="placeholder"/>
        </w:category>
        <w:types>
          <w:type w:val="bbPlcHdr"/>
        </w:types>
        <w:behaviors>
          <w:behavior w:val="content"/>
        </w:behaviors>
        <w:description w:val=""/>
        <w:guid w:val="{81078128-D2A4-4552-BB11-39608EA1A68A}"/>
      </w:docPartPr>
      <w:docPartBody>
        <w:p w14:paraId="30DD4D2B">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F7A7F"/>
    <w:rsid w:val="0009319B"/>
    <w:rsid w:val="00165580"/>
    <w:rsid w:val="0019047B"/>
    <w:rsid w:val="00272BD7"/>
    <w:rsid w:val="003A0F8C"/>
    <w:rsid w:val="006C27C4"/>
    <w:rsid w:val="00B017D2"/>
    <w:rsid w:val="00BF7A7F"/>
    <w:rsid w:val="00C60738"/>
    <w:rsid w:val="00CD1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3533E99472F4B048E761905EFAAE37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8C1C46-22D6-49FD-B571-D0DC6F9345BF}">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3056</Words>
  <Characters>3435</Characters>
  <Lines>37</Lines>
  <Paragraphs>10</Paragraphs>
  <TotalTime>9</TotalTime>
  <ScaleCrop>false</ScaleCrop>
  <LinksUpToDate>false</LinksUpToDate>
  <CharactersWithSpaces>3552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2022-01-12T05:31:00Z</dcterms:created>
  <dc:creator>a</dc:creator>
  <dc:description>&lt;config cover="true" show_menu="true" version="1.0.0" doctype="SDKXY"&gt;_x000d_
&lt;/config&gt;</dc:description>
  <cp:lastModifiedBy>mmme</cp:lastModifiedBy>
  <cp:lastPrinted>2020-08-30T10:00:00Z</cp:lastPrinted>
  <dcterms:modified xsi:type="dcterms:W3CDTF">2024-11-06T08:44:04Z</dcterms:modified>
  <dc:title>地方标准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E80AC8627F174535ACB60362FEF83207_13</vt:lpwstr>
  </property>
</Properties>
</file>